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425785" w14:textId="77777777" w:rsidR="00CD6FC5" w:rsidRDefault="00CD6FC5" w:rsidP="00CD6FC5">
      <w:pPr>
        <w:adjustRightInd w:val="0"/>
        <w:snapToGrid w:val="0"/>
        <w:spacing w:line="320" w:lineRule="exact"/>
        <w:rPr>
          <w:rFonts w:ascii="黑体" w:eastAsia="黑体" w:hAnsi="黑体" w:cs="Arial"/>
          <w:sz w:val="32"/>
          <w:szCs w:val="32"/>
        </w:rPr>
      </w:pPr>
      <w:r>
        <w:rPr>
          <w:rFonts w:ascii="黑体" w:eastAsia="黑体" w:hAnsi="黑体" w:cs="Arial" w:hint="eastAsia"/>
          <w:sz w:val="32"/>
          <w:szCs w:val="32"/>
        </w:rPr>
        <w:t>附件1</w:t>
      </w:r>
    </w:p>
    <w:p w14:paraId="5C24317A" w14:textId="77777777" w:rsidR="00CD6FC5" w:rsidRDefault="00CD6FC5" w:rsidP="00CD6FC5">
      <w:pPr>
        <w:adjustRightInd w:val="0"/>
        <w:snapToGrid w:val="0"/>
        <w:spacing w:line="320" w:lineRule="exact"/>
        <w:rPr>
          <w:rFonts w:eastAsia="楷体" w:cs="Arial"/>
          <w:szCs w:val="32"/>
        </w:rPr>
      </w:pPr>
    </w:p>
    <w:p w14:paraId="738AFCF1" w14:textId="77777777" w:rsidR="00CD6FC5" w:rsidRDefault="00CD6FC5" w:rsidP="00CD6FC5">
      <w:pPr>
        <w:adjustRightInd w:val="0"/>
        <w:snapToGrid w:val="0"/>
        <w:spacing w:line="640" w:lineRule="exact"/>
        <w:jc w:val="center"/>
        <w:rPr>
          <w:rFonts w:ascii="Times New Roman" w:eastAsia="方正小标宋简体" w:hAnsi="Times New Roman" w:cs="Arial"/>
          <w:sz w:val="44"/>
          <w:szCs w:val="44"/>
        </w:rPr>
      </w:pPr>
      <w:r>
        <w:rPr>
          <w:rFonts w:ascii="Times New Roman" w:eastAsia="方正小标宋简体" w:hAnsi="Times New Roman" w:cs="Arial" w:hint="eastAsia"/>
          <w:sz w:val="44"/>
          <w:szCs w:val="44"/>
        </w:rPr>
        <w:t>浙江师范大学优秀网络文化成果认定实施办法</w:t>
      </w:r>
    </w:p>
    <w:p w14:paraId="3616B1C5" w14:textId="77777777" w:rsidR="00CD6FC5" w:rsidRDefault="00CD6FC5" w:rsidP="00CD6FC5">
      <w:pPr>
        <w:adjustRightInd w:val="0"/>
        <w:snapToGrid w:val="0"/>
        <w:spacing w:line="320" w:lineRule="exact"/>
        <w:rPr>
          <w:rFonts w:ascii="Times New Roman" w:eastAsia="仿宋_GB2312" w:hAnsi="Times New Roman" w:cs="Arial" w:hint="eastAsia"/>
          <w:sz w:val="32"/>
          <w:szCs w:val="32"/>
        </w:rPr>
      </w:pPr>
    </w:p>
    <w:p w14:paraId="1FAEB519" w14:textId="77777777" w:rsidR="00CD6FC5" w:rsidRDefault="00CD6FC5" w:rsidP="00CD6FC5">
      <w:pPr>
        <w:adjustRightInd w:val="0"/>
        <w:snapToGrid w:val="0"/>
        <w:spacing w:line="320" w:lineRule="exact"/>
        <w:rPr>
          <w:rFonts w:ascii="Times New Roman" w:eastAsia="仿宋_GB2312" w:hAnsi="Times New Roman" w:cs="Arial" w:hint="eastAsia"/>
          <w:sz w:val="32"/>
          <w:szCs w:val="32"/>
        </w:rPr>
      </w:pPr>
    </w:p>
    <w:p w14:paraId="0C665474"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为加强学校网络文明建设，充分发挥网络文化育人功能，根据教育部等八部门《关于加快构建高校思想政治工作体系的意见》（</w:t>
      </w:r>
      <w:proofErr w:type="gramStart"/>
      <w:r>
        <w:rPr>
          <w:rFonts w:ascii="Times New Roman" w:eastAsia="仿宋_GB2312" w:hAnsi="Times New Roman" w:cs="Arial" w:hint="eastAsia"/>
          <w:sz w:val="32"/>
          <w:szCs w:val="32"/>
        </w:rPr>
        <w:t>教思政</w:t>
      </w:r>
      <w:proofErr w:type="gramEnd"/>
      <w:r>
        <w:rPr>
          <w:rFonts w:ascii="Times New Roman" w:eastAsia="仿宋_GB2312" w:hAnsi="Times New Roman" w:hint="eastAsia"/>
          <w:sz w:val="32"/>
          <w:szCs w:val="32"/>
        </w:rPr>
        <w:t>〔</w:t>
      </w:r>
      <w:r>
        <w:rPr>
          <w:rFonts w:ascii="Times New Roman" w:eastAsia="仿宋_GB2312" w:hAnsi="Times New Roman" w:hint="eastAsia"/>
          <w:sz w:val="32"/>
          <w:szCs w:val="32"/>
        </w:rPr>
        <w:t>2020</w:t>
      </w:r>
      <w:r>
        <w:rPr>
          <w:rFonts w:ascii="Times New Roman" w:eastAsia="仿宋_GB2312" w:hAnsi="Times New Roman" w:hint="eastAsia"/>
          <w:sz w:val="32"/>
          <w:szCs w:val="32"/>
        </w:rPr>
        <w:t>〕</w:t>
      </w:r>
      <w:r>
        <w:rPr>
          <w:rFonts w:ascii="Times New Roman" w:eastAsia="仿宋_GB2312" w:hAnsi="Times New Roman" w:hint="eastAsia"/>
          <w:sz w:val="32"/>
          <w:szCs w:val="32"/>
        </w:rPr>
        <w:t>1</w:t>
      </w:r>
      <w:r>
        <w:rPr>
          <w:rFonts w:ascii="Times New Roman" w:eastAsia="仿宋_GB2312" w:hAnsi="Times New Roman" w:cs="Arial" w:hint="eastAsia"/>
          <w:sz w:val="32"/>
          <w:szCs w:val="32"/>
        </w:rPr>
        <w:t>号）等文件要求，结合学校实际，特制定本办法。</w:t>
      </w:r>
    </w:p>
    <w:p w14:paraId="4CC2ADD9"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第一条</w:t>
      </w:r>
      <w:r>
        <w:rPr>
          <w:rFonts w:ascii="Times New Roman" w:eastAsia="仿宋_GB2312" w:hAnsi="Times New Roman" w:cs="Arial" w:hint="eastAsia"/>
          <w:sz w:val="32"/>
          <w:szCs w:val="32"/>
        </w:rPr>
        <w:t xml:space="preserve">　本办法适用于我校教职员工。由学校派到我校附属单位工作并纳入学校专业技术职务晋升和管理考核的人员，以附属单位名义取得的优秀网络文化成果视同我校为承担（完成）单位，可参照执行。</w:t>
      </w:r>
    </w:p>
    <w:p w14:paraId="63943127" w14:textId="77777777" w:rsidR="00CD6FC5" w:rsidRDefault="00CD6FC5" w:rsidP="00CD6FC5">
      <w:pPr>
        <w:adjustRightInd w:val="0"/>
        <w:snapToGrid w:val="0"/>
        <w:spacing w:line="560" w:lineRule="exact"/>
        <w:ind w:firstLineChars="200" w:firstLine="648"/>
        <w:rPr>
          <w:rFonts w:ascii="Times New Roman" w:eastAsia="仿宋_GB2312" w:hAnsi="Times New Roman" w:cs="Arial"/>
          <w:spacing w:val="2"/>
          <w:sz w:val="32"/>
          <w:szCs w:val="32"/>
        </w:rPr>
      </w:pPr>
      <w:r>
        <w:rPr>
          <w:rFonts w:ascii="Times New Roman" w:eastAsia="黑体" w:hAnsi="Times New Roman" w:cs="Arial" w:hint="eastAsia"/>
          <w:bCs/>
          <w:spacing w:val="2"/>
          <w:sz w:val="32"/>
          <w:szCs w:val="32"/>
        </w:rPr>
        <w:t>第二条</w:t>
      </w:r>
      <w:r>
        <w:rPr>
          <w:rFonts w:ascii="Times New Roman" w:eastAsia="仿宋_GB2312" w:hAnsi="Times New Roman" w:cs="Arial" w:hint="eastAsia"/>
          <w:spacing w:val="2"/>
          <w:sz w:val="32"/>
          <w:szCs w:val="32"/>
        </w:rPr>
        <w:t xml:space="preserve">　本办法所称的优秀网络文化成果是指在中国报刊、电视、互联网上刊发或播报的，具有广泛传播影响的，具有思想性、创新性的优秀原创文章、图片和影音、</w:t>
      </w:r>
      <w:proofErr w:type="gramStart"/>
      <w:r>
        <w:rPr>
          <w:rFonts w:ascii="Times New Roman" w:eastAsia="仿宋_GB2312" w:hAnsi="Times New Roman" w:cs="Arial" w:hint="eastAsia"/>
          <w:spacing w:val="2"/>
          <w:sz w:val="32"/>
          <w:szCs w:val="32"/>
        </w:rPr>
        <w:t>动漫等</w:t>
      </w:r>
      <w:proofErr w:type="gramEnd"/>
      <w:r>
        <w:rPr>
          <w:rFonts w:ascii="Times New Roman" w:eastAsia="仿宋_GB2312" w:hAnsi="Times New Roman" w:cs="Arial" w:hint="eastAsia"/>
          <w:spacing w:val="2"/>
          <w:sz w:val="32"/>
          <w:szCs w:val="32"/>
        </w:rPr>
        <w:t>新媒体作品，以新闻宣传、理论宣传、文艺宣传作品为主要内容的网络文化成果。</w:t>
      </w:r>
    </w:p>
    <w:p w14:paraId="472E7E68"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第三条</w:t>
      </w:r>
      <w:r>
        <w:rPr>
          <w:rFonts w:ascii="Times New Roman" w:eastAsia="仿宋_GB2312" w:hAnsi="Times New Roman" w:cs="Arial" w:hint="eastAsia"/>
          <w:sz w:val="32"/>
          <w:szCs w:val="32"/>
        </w:rPr>
        <w:t xml:space="preserve">　优秀网络文化成果作者必须为署名作者或署笔名、网名的实名认证人，且第一署名单位为浙江师范大学。</w:t>
      </w:r>
    </w:p>
    <w:p w14:paraId="5DB4426E"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第四条</w:t>
      </w:r>
      <w:r>
        <w:rPr>
          <w:rFonts w:ascii="Times New Roman" w:eastAsia="仿宋_GB2312" w:hAnsi="Times New Roman" w:cs="Arial" w:hint="eastAsia"/>
          <w:sz w:val="32"/>
          <w:szCs w:val="32"/>
        </w:rPr>
        <w:t xml:space="preserve">　优秀网络文化成果要坚持正确政治方向、价值取向和舆论导向，大力弘扬社会主义核心价值观，用优秀的文化内容陶冶人、激励人、引导人，努力营造向上向善的校园文化环境和网上美好精神家园，使之成为弘扬主旋律、</w:t>
      </w:r>
      <w:proofErr w:type="gramStart"/>
      <w:r>
        <w:rPr>
          <w:rFonts w:ascii="Times New Roman" w:eastAsia="仿宋_GB2312" w:hAnsi="Times New Roman" w:cs="Arial" w:hint="eastAsia"/>
          <w:sz w:val="32"/>
          <w:szCs w:val="32"/>
        </w:rPr>
        <w:t>传播正</w:t>
      </w:r>
      <w:proofErr w:type="gramEnd"/>
      <w:r>
        <w:rPr>
          <w:rFonts w:ascii="Times New Roman" w:eastAsia="仿宋_GB2312" w:hAnsi="Times New Roman" w:cs="Arial" w:hint="eastAsia"/>
          <w:sz w:val="32"/>
          <w:szCs w:val="32"/>
        </w:rPr>
        <w:t>能量和提升学校声誉的重要载体。</w:t>
      </w:r>
    </w:p>
    <w:p w14:paraId="67657051"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lastRenderedPageBreak/>
        <w:t>第五条</w:t>
      </w:r>
      <w:r>
        <w:rPr>
          <w:rFonts w:ascii="Times New Roman" w:eastAsia="仿宋_GB2312" w:hAnsi="Times New Roman" w:cs="Arial" w:hint="eastAsia"/>
          <w:sz w:val="32"/>
          <w:szCs w:val="32"/>
        </w:rPr>
        <w:t xml:space="preserve">　申报优秀网络文化成果的，原创文字字数不少于</w:t>
      </w:r>
      <w:r>
        <w:rPr>
          <w:rFonts w:ascii="Times New Roman" w:eastAsia="仿宋_GB2312" w:hAnsi="Times New Roman" w:hint="eastAsia"/>
          <w:sz w:val="32"/>
          <w:szCs w:val="32"/>
        </w:rPr>
        <w:t>1000</w:t>
      </w:r>
      <w:r>
        <w:rPr>
          <w:rFonts w:ascii="Times New Roman" w:eastAsia="仿宋_GB2312" w:hAnsi="Times New Roman" w:cs="Arial" w:hint="eastAsia"/>
          <w:sz w:val="32"/>
          <w:szCs w:val="32"/>
        </w:rPr>
        <w:t>字，且至少符合下列标准之一：</w:t>
      </w:r>
    </w:p>
    <w:p w14:paraId="3992C505"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（一）在《人民日报》《光明日报》《经济日报》《解放军报》和《求是》杂志刊发的作品。</w:t>
      </w:r>
    </w:p>
    <w:p w14:paraId="4E9D1261"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二）在中央广播电视总台、新华网、人民网、学习强国等中央新闻单位、网站及其“官方微博、官方微信、官方移动客户端”（以下简称“两微一端”），《中国社会科学报》、《中国教育报》、新华文摘等相关国家级平台，《浙江日报》、浙江电视台、《浙江教育报》、教育之江等省内主流媒体刊发、转载，并形成重大、较大网络传播的作品。</w:t>
      </w:r>
    </w:p>
    <w:p w14:paraId="7AD6EA9A"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（三）具有影响力的商业门户网站、短视频平台、地方新闻媒体、自媒体以及学校</w:t>
      </w:r>
      <w:proofErr w:type="gramStart"/>
      <w:r>
        <w:rPr>
          <w:rFonts w:ascii="Times New Roman" w:eastAsia="仿宋_GB2312" w:hAnsi="Times New Roman" w:cs="Arial" w:hint="eastAsia"/>
          <w:sz w:val="32"/>
          <w:szCs w:val="32"/>
        </w:rPr>
        <w:t>融媒体</w:t>
      </w:r>
      <w:proofErr w:type="gramEnd"/>
      <w:r>
        <w:rPr>
          <w:rFonts w:ascii="Times New Roman" w:eastAsia="仿宋_GB2312" w:hAnsi="Times New Roman" w:cs="Arial" w:hint="eastAsia"/>
          <w:sz w:val="32"/>
          <w:szCs w:val="32"/>
        </w:rPr>
        <w:t>矩阵官方平台刊发、转载，并形成重大网络传播的作品。</w:t>
      </w:r>
    </w:p>
    <w:p w14:paraId="21F30E35"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（四）中央新闻单位、网站组织评选的高校优秀校园新闻获奖作品。</w:t>
      </w:r>
    </w:p>
    <w:p w14:paraId="0474CF44"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（五）教育部有关司局组织的“全国大学生网络文化节和全国高校网络教育优秀作品推选展示活动”获奖作品。</w:t>
      </w:r>
    </w:p>
    <w:p w14:paraId="1040062C"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第六条</w:t>
      </w:r>
      <w:r>
        <w:rPr>
          <w:rFonts w:ascii="Times New Roman" w:eastAsia="仿宋_GB2312" w:hAnsi="Times New Roman" w:cs="Arial" w:hint="eastAsia"/>
          <w:sz w:val="32"/>
          <w:szCs w:val="32"/>
        </w:rPr>
        <w:t xml:space="preserve">　本办法所称的重大、较大网络传播认定如下：</w:t>
      </w:r>
    </w:p>
    <w:p w14:paraId="03398EBE"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（一）重大网络传播是指作品被不少于</w:t>
      </w:r>
      <w:r>
        <w:rPr>
          <w:rFonts w:ascii="Times New Roman" w:eastAsia="仿宋_GB2312" w:hAnsi="Times New Roman" w:hint="eastAsia"/>
          <w:sz w:val="32"/>
          <w:szCs w:val="32"/>
        </w:rPr>
        <w:t>20</w:t>
      </w:r>
      <w:r>
        <w:rPr>
          <w:rFonts w:ascii="Times New Roman" w:eastAsia="仿宋_GB2312" w:hAnsi="Times New Roman" w:cs="Arial" w:hint="eastAsia"/>
          <w:sz w:val="32"/>
          <w:szCs w:val="32"/>
        </w:rPr>
        <w:t>家主流媒体及其网站、“两微一端”以及重要商业网站及其“两微一端”刊发、转载；或文字类作品阅读量累计不少于</w:t>
      </w:r>
      <w:r>
        <w:rPr>
          <w:rFonts w:ascii="Times New Roman" w:eastAsia="仿宋_GB2312" w:hAnsi="Times New Roman" w:hint="eastAsia"/>
          <w:sz w:val="32"/>
          <w:szCs w:val="32"/>
        </w:rPr>
        <w:t>20</w:t>
      </w:r>
      <w:r>
        <w:rPr>
          <w:rFonts w:ascii="Times New Roman" w:eastAsia="仿宋_GB2312" w:hAnsi="Times New Roman" w:cs="Arial" w:hint="eastAsia"/>
          <w:sz w:val="32"/>
          <w:szCs w:val="32"/>
        </w:rPr>
        <w:t>万；视频类作品阅读量累计不少于</w:t>
      </w:r>
      <w:r>
        <w:rPr>
          <w:rFonts w:ascii="Times New Roman" w:eastAsia="仿宋_GB2312" w:hAnsi="Times New Roman" w:hint="eastAsia"/>
          <w:sz w:val="32"/>
          <w:szCs w:val="32"/>
        </w:rPr>
        <w:t>100</w:t>
      </w:r>
      <w:r>
        <w:rPr>
          <w:rFonts w:ascii="Times New Roman" w:eastAsia="仿宋_GB2312" w:hAnsi="Times New Roman" w:cs="Arial" w:hint="eastAsia"/>
          <w:sz w:val="32"/>
          <w:szCs w:val="32"/>
        </w:rPr>
        <w:t>万。</w:t>
      </w:r>
    </w:p>
    <w:p w14:paraId="5225D0CF"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（二）较大网络传播是指作品被不少</w:t>
      </w:r>
      <w:r>
        <w:rPr>
          <w:rFonts w:ascii="Times New Roman" w:eastAsia="仿宋_GB2312" w:hAnsi="Times New Roman" w:hint="eastAsia"/>
          <w:sz w:val="32"/>
          <w:szCs w:val="32"/>
        </w:rPr>
        <w:t>于</w:t>
      </w:r>
      <w:r>
        <w:rPr>
          <w:rFonts w:ascii="Times New Roman" w:eastAsia="仿宋_GB2312" w:hAnsi="Times New Roman" w:hint="eastAsia"/>
          <w:sz w:val="32"/>
          <w:szCs w:val="32"/>
        </w:rPr>
        <w:t>10</w:t>
      </w:r>
      <w:r>
        <w:rPr>
          <w:rFonts w:ascii="Times New Roman" w:eastAsia="仿宋_GB2312" w:hAnsi="Times New Roman" w:cs="Arial" w:hint="eastAsia"/>
          <w:sz w:val="32"/>
          <w:szCs w:val="32"/>
        </w:rPr>
        <w:t>家主流媒体及其网站、“两微一端”和重要商业网站及其“两微一端”刊</w:t>
      </w:r>
      <w:r>
        <w:rPr>
          <w:rFonts w:ascii="Times New Roman" w:eastAsia="仿宋_GB2312" w:hAnsi="Times New Roman" w:cs="Arial" w:hint="eastAsia"/>
          <w:sz w:val="32"/>
          <w:szCs w:val="32"/>
        </w:rPr>
        <w:lastRenderedPageBreak/>
        <w:t>发、转载；或文字类作品阅读量累计不少</w:t>
      </w:r>
      <w:r>
        <w:rPr>
          <w:rFonts w:ascii="Times New Roman" w:eastAsia="仿宋_GB2312" w:hAnsi="Times New Roman" w:hint="eastAsia"/>
          <w:sz w:val="32"/>
          <w:szCs w:val="32"/>
        </w:rPr>
        <w:t>于</w:t>
      </w:r>
      <w:r>
        <w:rPr>
          <w:rFonts w:ascii="Times New Roman" w:eastAsia="仿宋_GB2312" w:hAnsi="Times New Roman" w:hint="eastAsia"/>
          <w:sz w:val="32"/>
          <w:szCs w:val="32"/>
        </w:rPr>
        <w:t>10</w:t>
      </w:r>
      <w:r>
        <w:rPr>
          <w:rFonts w:ascii="Times New Roman" w:eastAsia="仿宋_GB2312" w:hAnsi="Times New Roman" w:cs="Arial" w:hint="eastAsia"/>
          <w:sz w:val="32"/>
          <w:szCs w:val="32"/>
        </w:rPr>
        <w:t>万；视频类作品阅读量累计不少</w:t>
      </w:r>
      <w:r>
        <w:rPr>
          <w:rFonts w:ascii="Times New Roman" w:eastAsia="仿宋_GB2312" w:hAnsi="Times New Roman" w:hint="eastAsia"/>
          <w:sz w:val="32"/>
          <w:szCs w:val="32"/>
        </w:rPr>
        <w:t>于</w:t>
      </w:r>
      <w:r>
        <w:rPr>
          <w:rFonts w:ascii="Times New Roman" w:eastAsia="仿宋_GB2312" w:hAnsi="Times New Roman" w:hint="eastAsia"/>
          <w:sz w:val="32"/>
          <w:szCs w:val="32"/>
        </w:rPr>
        <w:t>50</w:t>
      </w:r>
      <w:r>
        <w:rPr>
          <w:rFonts w:ascii="Times New Roman" w:eastAsia="仿宋_GB2312" w:hAnsi="Times New Roman" w:cs="Arial" w:hint="eastAsia"/>
          <w:sz w:val="32"/>
          <w:szCs w:val="32"/>
        </w:rPr>
        <w:t>万。</w:t>
      </w:r>
    </w:p>
    <w:p w14:paraId="0FC8817A"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第七条</w:t>
      </w:r>
      <w:r>
        <w:rPr>
          <w:rFonts w:ascii="Times New Roman" w:eastAsia="仿宋_GB2312" w:hAnsi="Times New Roman" w:cs="Arial" w:hint="eastAsia"/>
          <w:sz w:val="32"/>
          <w:szCs w:val="32"/>
        </w:rPr>
        <w:t xml:space="preserve">　申报与评审程序</w:t>
      </w:r>
    </w:p>
    <w:p w14:paraId="1A1BDB7F"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（一）每年定期申报上一年度（</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1</w:t>
      </w:r>
      <w:r>
        <w:rPr>
          <w:rFonts w:ascii="Times New Roman" w:eastAsia="仿宋_GB2312" w:hAnsi="Times New Roman" w:hint="eastAsia"/>
          <w:sz w:val="32"/>
          <w:szCs w:val="32"/>
        </w:rPr>
        <w:t>日到</w:t>
      </w:r>
      <w:r>
        <w:rPr>
          <w:rFonts w:ascii="Times New Roman" w:eastAsia="仿宋_GB2312" w:hAnsi="Times New Roman" w:hint="eastAsia"/>
          <w:sz w:val="32"/>
          <w:szCs w:val="32"/>
        </w:rPr>
        <w:t>12</w:t>
      </w:r>
      <w:r>
        <w:rPr>
          <w:rFonts w:ascii="Times New Roman" w:eastAsia="仿宋_GB2312" w:hAnsi="Times New Roman" w:hint="eastAsia"/>
          <w:sz w:val="32"/>
          <w:szCs w:val="32"/>
        </w:rPr>
        <w:t>月</w:t>
      </w:r>
      <w:r>
        <w:rPr>
          <w:rFonts w:ascii="Times New Roman" w:eastAsia="仿宋_GB2312" w:hAnsi="Times New Roman" w:hint="eastAsia"/>
          <w:sz w:val="32"/>
          <w:szCs w:val="32"/>
        </w:rPr>
        <w:t>31</w:t>
      </w:r>
      <w:r>
        <w:rPr>
          <w:rFonts w:ascii="Times New Roman" w:eastAsia="仿宋_GB2312" w:hAnsi="Times New Roman" w:cs="Arial" w:hint="eastAsia"/>
          <w:sz w:val="32"/>
          <w:szCs w:val="32"/>
        </w:rPr>
        <w:t>日）的网络文化成果。</w:t>
      </w:r>
    </w:p>
    <w:p w14:paraId="39C05720"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（二）申报者须填写网络文化成果认定申报表，自行填报申报等级，并提供相关佐证材料复印件、截</w:t>
      </w:r>
      <w:proofErr w:type="gramStart"/>
      <w:r>
        <w:rPr>
          <w:rFonts w:ascii="Times New Roman" w:eastAsia="仿宋_GB2312" w:hAnsi="Times New Roman" w:cs="Arial" w:hint="eastAsia"/>
          <w:sz w:val="32"/>
          <w:szCs w:val="32"/>
        </w:rPr>
        <w:t>图或者</w:t>
      </w:r>
      <w:proofErr w:type="gramEnd"/>
      <w:r>
        <w:rPr>
          <w:rFonts w:ascii="Times New Roman" w:eastAsia="仿宋_GB2312" w:hAnsi="Times New Roman" w:cs="Arial" w:hint="eastAsia"/>
          <w:sz w:val="32"/>
          <w:szCs w:val="32"/>
        </w:rPr>
        <w:t>相关链接，每位申报者限报两项。</w:t>
      </w:r>
    </w:p>
    <w:p w14:paraId="22DB451D"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（三）宣传部对申报材料予以审核，对不符合申报条件的成果不列入评审。</w:t>
      </w:r>
    </w:p>
    <w:p w14:paraId="50F71EE2"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（四）符合本办法第五条第（四）（五）款的一、二等奖视同于重大网络传播作品参评，三等奖、优秀奖、入围奖视同于较大网络传播作品参评。</w:t>
      </w:r>
    </w:p>
    <w:p w14:paraId="3368AA88"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（五）优秀网络文化成果由宣传部牵头组织专家进行认定，分</w:t>
      </w:r>
      <w:r>
        <w:rPr>
          <w:rFonts w:ascii="Times New Roman" w:eastAsia="仿宋_GB2312" w:hAnsi="Times New Roman" w:hint="eastAsia"/>
          <w:sz w:val="32"/>
          <w:szCs w:val="32"/>
        </w:rPr>
        <w:t>A</w:t>
      </w:r>
      <w:r>
        <w:rPr>
          <w:rFonts w:ascii="Times New Roman" w:eastAsia="仿宋_GB2312" w:hAnsi="Times New Roman" w:hint="eastAsia"/>
          <w:sz w:val="32"/>
          <w:szCs w:val="32"/>
        </w:rPr>
        <w:t>、</w:t>
      </w:r>
      <w:r>
        <w:rPr>
          <w:rFonts w:ascii="Times New Roman" w:eastAsia="仿宋_GB2312" w:hAnsi="Times New Roman" w:hint="eastAsia"/>
          <w:sz w:val="32"/>
          <w:szCs w:val="32"/>
        </w:rPr>
        <w:t>B</w:t>
      </w:r>
      <w:r>
        <w:rPr>
          <w:rFonts w:ascii="Times New Roman" w:eastAsia="仿宋_GB2312" w:hAnsi="Times New Roman" w:hint="eastAsia"/>
          <w:sz w:val="32"/>
          <w:szCs w:val="32"/>
        </w:rPr>
        <w:t>、</w:t>
      </w:r>
      <w:r>
        <w:rPr>
          <w:rFonts w:ascii="Times New Roman" w:eastAsia="仿宋_GB2312" w:hAnsi="Times New Roman" w:hint="eastAsia"/>
          <w:sz w:val="32"/>
          <w:szCs w:val="32"/>
        </w:rPr>
        <w:t>C</w:t>
      </w:r>
      <w:r>
        <w:rPr>
          <w:rFonts w:ascii="Times New Roman" w:eastAsia="仿宋_GB2312" w:hAnsi="Times New Roman" w:hint="eastAsia"/>
          <w:sz w:val="32"/>
          <w:szCs w:val="32"/>
        </w:rPr>
        <w:t>、</w:t>
      </w:r>
      <w:r>
        <w:rPr>
          <w:rFonts w:ascii="Times New Roman" w:eastAsia="仿宋_GB2312" w:hAnsi="Times New Roman" w:hint="eastAsia"/>
          <w:sz w:val="32"/>
          <w:szCs w:val="32"/>
        </w:rPr>
        <w:t>D</w:t>
      </w:r>
      <w:r>
        <w:rPr>
          <w:rFonts w:ascii="Times New Roman" w:eastAsia="仿宋_GB2312" w:hAnsi="Times New Roman" w:cs="Arial" w:hint="eastAsia"/>
          <w:sz w:val="32"/>
          <w:szCs w:val="32"/>
        </w:rPr>
        <w:t>四个等级，对应传播业绩分值为</w:t>
      </w:r>
      <w:r>
        <w:rPr>
          <w:rFonts w:ascii="Times New Roman" w:eastAsia="仿宋_GB2312" w:hAnsi="Times New Roman" w:hint="eastAsia"/>
          <w:sz w:val="32"/>
          <w:szCs w:val="32"/>
        </w:rPr>
        <w:t>50</w:t>
      </w:r>
      <w:r>
        <w:rPr>
          <w:rFonts w:ascii="Times New Roman" w:eastAsia="仿宋_GB2312" w:hAnsi="Times New Roman" w:hint="eastAsia"/>
          <w:sz w:val="32"/>
          <w:szCs w:val="32"/>
        </w:rPr>
        <w:t>、</w:t>
      </w:r>
      <w:r>
        <w:rPr>
          <w:rFonts w:ascii="Times New Roman" w:eastAsia="仿宋_GB2312" w:hAnsi="Times New Roman" w:hint="eastAsia"/>
          <w:sz w:val="32"/>
          <w:szCs w:val="32"/>
        </w:rPr>
        <w:t>30</w:t>
      </w:r>
      <w:r>
        <w:rPr>
          <w:rFonts w:ascii="Times New Roman" w:eastAsia="仿宋_GB2312" w:hAnsi="Times New Roman" w:hint="eastAsia"/>
          <w:sz w:val="32"/>
          <w:szCs w:val="32"/>
        </w:rPr>
        <w:t>、</w:t>
      </w:r>
      <w:r>
        <w:rPr>
          <w:rFonts w:ascii="Times New Roman" w:eastAsia="仿宋_GB2312" w:hAnsi="Times New Roman" w:hint="eastAsia"/>
          <w:sz w:val="32"/>
          <w:szCs w:val="32"/>
        </w:rPr>
        <w:t>10</w:t>
      </w:r>
      <w:r>
        <w:rPr>
          <w:rFonts w:ascii="Times New Roman" w:eastAsia="仿宋_GB2312" w:hAnsi="Times New Roman" w:hint="eastAsia"/>
          <w:sz w:val="32"/>
          <w:szCs w:val="32"/>
        </w:rPr>
        <w:t>、</w:t>
      </w:r>
      <w:r>
        <w:rPr>
          <w:rFonts w:ascii="Times New Roman" w:eastAsia="仿宋_GB2312" w:hAnsi="Times New Roman" w:hint="eastAsia"/>
          <w:sz w:val="32"/>
          <w:szCs w:val="32"/>
        </w:rPr>
        <w:t>5</w:t>
      </w:r>
      <w:r>
        <w:rPr>
          <w:rFonts w:ascii="Times New Roman" w:eastAsia="仿宋_GB2312" w:hAnsi="Times New Roman" w:hint="eastAsia"/>
          <w:sz w:val="32"/>
          <w:szCs w:val="32"/>
        </w:rPr>
        <w:t>。其中，</w:t>
      </w:r>
      <w:r>
        <w:rPr>
          <w:rFonts w:ascii="Times New Roman" w:eastAsia="仿宋_GB2312" w:hAnsi="Times New Roman" w:hint="eastAsia"/>
          <w:sz w:val="32"/>
          <w:szCs w:val="32"/>
        </w:rPr>
        <w:t>A</w:t>
      </w:r>
      <w:r>
        <w:rPr>
          <w:rFonts w:ascii="Times New Roman" w:eastAsia="仿宋_GB2312" w:hAnsi="Times New Roman" w:hint="eastAsia"/>
          <w:sz w:val="32"/>
          <w:szCs w:val="32"/>
        </w:rPr>
        <w:t>、</w:t>
      </w:r>
      <w:r>
        <w:rPr>
          <w:rFonts w:ascii="Times New Roman" w:eastAsia="仿宋_GB2312" w:hAnsi="Times New Roman" w:hint="eastAsia"/>
          <w:sz w:val="32"/>
          <w:szCs w:val="32"/>
        </w:rPr>
        <w:t>B</w:t>
      </w:r>
      <w:r>
        <w:rPr>
          <w:rFonts w:ascii="Times New Roman" w:eastAsia="仿宋_GB2312" w:hAnsi="Times New Roman" w:hint="eastAsia"/>
          <w:sz w:val="32"/>
          <w:szCs w:val="32"/>
        </w:rPr>
        <w:t>等级均不超过参评总量的</w:t>
      </w:r>
      <w:r>
        <w:rPr>
          <w:rFonts w:ascii="Times New Roman" w:eastAsia="仿宋_GB2312" w:hAnsi="Times New Roman" w:hint="eastAsia"/>
          <w:sz w:val="32"/>
          <w:szCs w:val="32"/>
        </w:rPr>
        <w:t>30%</w:t>
      </w:r>
      <w:r>
        <w:rPr>
          <w:rFonts w:ascii="Times New Roman" w:eastAsia="仿宋_GB2312" w:hAnsi="Times New Roman" w:cs="Arial" w:hint="eastAsia"/>
          <w:sz w:val="32"/>
          <w:szCs w:val="32"/>
        </w:rPr>
        <w:t>。</w:t>
      </w:r>
    </w:p>
    <w:p w14:paraId="5162E27F"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（六）重大网络传播作品在认</w:t>
      </w:r>
      <w:r>
        <w:rPr>
          <w:rFonts w:ascii="Times New Roman" w:eastAsia="仿宋_GB2312" w:hAnsi="Times New Roman" w:hint="eastAsia"/>
          <w:sz w:val="32"/>
          <w:szCs w:val="32"/>
        </w:rPr>
        <w:t>定</w:t>
      </w:r>
      <w:r>
        <w:rPr>
          <w:rFonts w:ascii="Times New Roman" w:eastAsia="仿宋_GB2312" w:hAnsi="Times New Roman" w:hint="eastAsia"/>
          <w:sz w:val="32"/>
          <w:szCs w:val="32"/>
        </w:rPr>
        <w:t>A</w:t>
      </w:r>
      <w:r>
        <w:rPr>
          <w:rFonts w:ascii="Times New Roman" w:eastAsia="仿宋_GB2312" w:hAnsi="Times New Roman" w:hint="eastAsia"/>
          <w:sz w:val="32"/>
          <w:szCs w:val="32"/>
        </w:rPr>
        <w:t>、</w:t>
      </w:r>
      <w:r>
        <w:rPr>
          <w:rFonts w:ascii="Times New Roman" w:eastAsia="仿宋_GB2312" w:hAnsi="Times New Roman" w:hint="eastAsia"/>
          <w:sz w:val="32"/>
          <w:szCs w:val="32"/>
        </w:rPr>
        <w:t>B</w:t>
      </w:r>
      <w:r>
        <w:rPr>
          <w:rFonts w:ascii="Times New Roman" w:eastAsia="仿宋_GB2312" w:hAnsi="Times New Roman" w:hint="eastAsia"/>
          <w:sz w:val="32"/>
          <w:szCs w:val="32"/>
        </w:rPr>
        <w:t>等</w:t>
      </w:r>
      <w:r>
        <w:rPr>
          <w:rFonts w:ascii="Times New Roman" w:eastAsia="仿宋_GB2312" w:hAnsi="Times New Roman" w:cs="Arial" w:hint="eastAsia"/>
          <w:sz w:val="32"/>
          <w:szCs w:val="32"/>
        </w:rPr>
        <w:t>级时优先考虑。</w:t>
      </w:r>
    </w:p>
    <w:p w14:paraId="5997F9BA"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（七）为确保评审公正性，当年申报成果人员不得作为评审专家参加当年的网络文化成果定级评审。</w:t>
      </w:r>
    </w:p>
    <w:p w14:paraId="36543B5F"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（八）专家评审结果原则上不做复议或重评。</w:t>
      </w:r>
    </w:p>
    <w:p w14:paraId="58768D71"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仿宋_GB2312" w:hAnsi="Times New Roman" w:cs="Arial" w:hint="eastAsia"/>
          <w:sz w:val="32"/>
          <w:szCs w:val="32"/>
        </w:rPr>
        <w:t>（九）评审结果在校内公示</w:t>
      </w:r>
      <w:r>
        <w:rPr>
          <w:rFonts w:ascii="Times New Roman" w:eastAsia="仿宋_GB2312" w:hAnsi="Times New Roman" w:hint="eastAsia"/>
          <w:sz w:val="32"/>
          <w:szCs w:val="32"/>
        </w:rPr>
        <w:t>3</w:t>
      </w:r>
      <w:r>
        <w:rPr>
          <w:rFonts w:ascii="Times New Roman" w:eastAsia="仿宋_GB2312" w:hAnsi="Times New Roman" w:hint="eastAsia"/>
          <w:sz w:val="32"/>
          <w:szCs w:val="32"/>
        </w:rPr>
        <w:t>个</w:t>
      </w:r>
      <w:r>
        <w:rPr>
          <w:rFonts w:ascii="Times New Roman" w:eastAsia="仿宋_GB2312" w:hAnsi="Times New Roman" w:cs="Arial" w:hint="eastAsia"/>
          <w:sz w:val="32"/>
          <w:szCs w:val="32"/>
        </w:rPr>
        <w:t>工作日，接受公众监督。</w:t>
      </w:r>
    </w:p>
    <w:p w14:paraId="571D1166"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第八条</w:t>
      </w:r>
      <w:r>
        <w:rPr>
          <w:rFonts w:ascii="Times New Roman" w:eastAsia="仿宋_GB2312" w:hAnsi="Times New Roman" w:cs="Arial" w:hint="eastAsia"/>
          <w:sz w:val="32"/>
          <w:szCs w:val="32"/>
        </w:rPr>
        <w:t xml:space="preserve">　经认定的优秀网络文化成果可计入传播业绩，本办法中所指的传播业绩是指我校教职员工以我校为承担（完成）单位从事宣传活动所取得的工作业绩，包括新闻宣</w:t>
      </w:r>
      <w:r>
        <w:rPr>
          <w:rFonts w:ascii="Times New Roman" w:eastAsia="仿宋_GB2312" w:hAnsi="Times New Roman" w:cs="Arial" w:hint="eastAsia"/>
          <w:sz w:val="32"/>
          <w:szCs w:val="32"/>
        </w:rPr>
        <w:lastRenderedPageBreak/>
        <w:t>传、理论宣传、文艺宣传等。传播业绩与教学业绩、科研业绩同等对待，列为教师考核、师生评奖评优依据和学生思政、教育管理系列岗位聘任与职务职称评聘条件。其中认定</w:t>
      </w:r>
      <w:r>
        <w:rPr>
          <w:rFonts w:ascii="Times New Roman" w:eastAsia="仿宋_GB2312" w:hAnsi="Times New Roman" w:hint="eastAsia"/>
          <w:sz w:val="32"/>
          <w:szCs w:val="32"/>
        </w:rPr>
        <w:t>为</w:t>
      </w:r>
      <w:r>
        <w:rPr>
          <w:rFonts w:ascii="Times New Roman" w:eastAsia="仿宋_GB2312" w:hAnsi="Times New Roman" w:hint="eastAsia"/>
          <w:sz w:val="32"/>
          <w:szCs w:val="32"/>
        </w:rPr>
        <w:t>A</w:t>
      </w:r>
      <w:r>
        <w:rPr>
          <w:rFonts w:ascii="Times New Roman" w:eastAsia="仿宋_GB2312" w:hAnsi="Times New Roman" w:hint="eastAsia"/>
          <w:sz w:val="32"/>
          <w:szCs w:val="32"/>
        </w:rPr>
        <w:t>、</w:t>
      </w:r>
      <w:r>
        <w:rPr>
          <w:rFonts w:ascii="Times New Roman" w:eastAsia="仿宋_GB2312" w:hAnsi="Times New Roman" w:hint="eastAsia"/>
          <w:sz w:val="32"/>
          <w:szCs w:val="32"/>
        </w:rPr>
        <w:t>B</w:t>
      </w:r>
      <w:r>
        <w:rPr>
          <w:rFonts w:ascii="Times New Roman" w:eastAsia="仿宋_GB2312" w:hAnsi="Times New Roman" w:cs="Arial" w:hint="eastAsia"/>
          <w:sz w:val="32"/>
          <w:szCs w:val="32"/>
        </w:rPr>
        <w:t>等级的作品纳入学校奖励性绩效管理范围，按照分值相应的金额进行奖励。</w:t>
      </w:r>
    </w:p>
    <w:p w14:paraId="11315EBC" w14:textId="77777777" w:rsidR="00CD6FC5" w:rsidRDefault="00CD6FC5" w:rsidP="00CD6FC5">
      <w:pPr>
        <w:adjustRightInd w:val="0"/>
        <w:snapToGrid w:val="0"/>
        <w:spacing w:afterLines="25" w:after="78"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第九条</w:t>
      </w:r>
      <w:r>
        <w:rPr>
          <w:rFonts w:ascii="Times New Roman" w:eastAsia="仿宋_GB2312" w:hAnsi="Times New Roman" w:cs="Arial" w:hint="eastAsia"/>
          <w:sz w:val="32"/>
          <w:szCs w:val="32"/>
        </w:rPr>
        <w:t xml:space="preserve">　传播业绩分值由传播业绩主要完成人（项目负责人、成果第一完成人等）分配至团队各成员，原则上参与人员个人分值不高于主要完成人分值。参考以下标准执行：</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361"/>
        <w:gridCol w:w="1391"/>
        <w:gridCol w:w="1390"/>
        <w:gridCol w:w="1391"/>
        <w:gridCol w:w="1390"/>
        <w:gridCol w:w="1373"/>
      </w:tblGrid>
      <w:tr w:rsidR="00CD6FC5" w14:paraId="2843250B" w14:textId="77777777" w:rsidTr="007D5E72">
        <w:trPr>
          <w:cantSplit/>
          <w:trHeight w:val="680"/>
        </w:trPr>
        <w:tc>
          <w:tcPr>
            <w:tcW w:w="1509" w:type="dxa"/>
            <w:vAlign w:val="center"/>
          </w:tcPr>
          <w:p w14:paraId="2E0BFC42" w14:textId="77777777" w:rsidR="00CD6FC5" w:rsidRDefault="00CD6FC5" w:rsidP="007D5E72">
            <w:pPr>
              <w:widowControl/>
              <w:adjustRightInd w:val="0"/>
              <w:snapToGrid w:val="0"/>
              <w:spacing w:line="240" w:lineRule="atLeast"/>
              <w:jc w:val="center"/>
              <w:rPr>
                <w:rFonts w:ascii="Times New Roman" w:eastAsia="仿宋_GB2312" w:hAnsi="Times New Roman" w:cs="Arial"/>
                <w:b/>
                <w:kern w:val="0"/>
                <w:sz w:val="28"/>
                <w:szCs w:val="28"/>
              </w:rPr>
            </w:pPr>
            <w:r>
              <w:rPr>
                <w:rFonts w:ascii="Times New Roman" w:eastAsia="仿宋_GB2312" w:hAnsi="Times New Roman" w:cs="Arial" w:hint="eastAsia"/>
                <w:b/>
                <w:kern w:val="0"/>
                <w:sz w:val="28"/>
                <w:szCs w:val="28"/>
              </w:rPr>
              <w:t>合作人数</w:t>
            </w:r>
          </w:p>
        </w:tc>
        <w:tc>
          <w:tcPr>
            <w:tcW w:w="1510" w:type="dxa"/>
            <w:vAlign w:val="center"/>
          </w:tcPr>
          <w:p w14:paraId="1CD93F07" w14:textId="77777777" w:rsidR="00CD6FC5" w:rsidRDefault="00CD6FC5" w:rsidP="007D5E72">
            <w:pPr>
              <w:widowControl/>
              <w:adjustRightInd w:val="0"/>
              <w:snapToGrid w:val="0"/>
              <w:spacing w:line="240" w:lineRule="atLeast"/>
              <w:jc w:val="center"/>
              <w:rPr>
                <w:rFonts w:ascii="Times New Roman" w:eastAsia="仿宋_GB2312" w:hAnsi="Times New Roman" w:cs="Arial"/>
                <w:b/>
                <w:kern w:val="0"/>
                <w:sz w:val="28"/>
                <w:szCs w:val="28"/>
              </w:rPr>
            </w:pPr>
            <w:r>
              <w:rPr>
                <w:rFonts w:ascii="Times New Roman" w:eastAsia="仿宋_GB2312" w:hAnsi="Times New Roman" w:cs="Arial" w:hint="eastAsia"/>
                <w:b/>
                <w:kern w:val="0"/>
                <w:sz w:val="28"/>
                <w:szCs w:val="28"/>
              </w:rPr>
              <w:t>负责人</w:t>
            </w:r>
          </w:p>
        </w:tc>
        <w:tc>
          <w:tcPr>
            <w:tcW w:w="1509" w:type="dxa"/>
            <w:vAlign w:val="center"/>
          </w:tcPr>
          <w:p w14:paraId="5553BB38" w14:textId="77777777" w:rsidR="00CD6FC5" w:rsidRDefault="00CD6FC5" w:rsidP="007D5E72">
            <w:pPr>
              <w:widowControl/>
              <w:adjustRightInd w:val="0"/>
              <w:snapToGrid w:val="0"/>
              <w:spacing w:line="240" w:lineRule="atLeast"/>
              <w:jc w:val="center"/>
              <w:rPr>
                <w:rFonts w:ascii="Times New Roman" w:eastAsia="仿宋_GB2312" w:hAnsi="Times New Roman" w:cs="Arial"/>
                <w:b/>
                <w:kern w:val="0"/>
                <w:sz w:val="28"/>
                <w:szCs w:val="28"/>
              </w:rPr>
            </w:pPr>
            <w:r>
              <w:rPr>
                <w:rFonts w:ascii="Times New Roman" w:eastAsia="仿宋_GB2312" w:hAnsi="Times New Roman" w:cs="Arial" w:hint="eastAsia"/>
                <w:b/>
                <w:kern w:val="0"/>
                <w:sz w:val="28"/>
                <w:szCs w:val="28"/>
              </w:rPr>
              <w:t>第一合作者</w:t>
            </w:r>
          </w:p>
        </w:tc>
        <w:tc>
          <w:tcPr>
            <w:tcW w:w="1510" w:type="dxa"/>
            <w:vAlign w:val="center"/>
          </w:tcPr>
          <w:p w14:paraId="08423EB8" w14:textId="77777777" w:rsidR="00CD6FC5" w:rsidRDefault="00CD6FC5" w:rsidP="007D5E72">
            <w:pPr>
              <w:widowControl/>
              <w:adjustRightInd w:val="0"/>
              <w:snapToGrid w:val="0"/>
              <w:spacing w:line="240" w:lineRule="atLeast"/>
              <w:jc w:val="center"/>
              <w:rPr>
                <w:rFonts w:ascii="Times New Roman" w:eastAsia="仿宋_GB2312" w:hAnsi="Times New Roman" w:cs="Arial"/>
                <w:b/>
                <w:kern w:val="0"/>
                <w:sz w:val="28"/>
                <w:szCs w:val="28"/>
              </w:rPr>
            </w:pPr>
            <w:r>
              <w:rPr>
                <w:rFonts w:ascii="Times New Roman" w:eastAsia="仿宋_GB2312" w:hAnsi="Times New Roman" w:cs="Arial" w:hint="eastAsia"/>
                <w:b/>
                <w:kern w:val="0"/>
                <w:sz w:val="28"/>
                <w:szCs w:val="28"/>
              </w:rPr>
              <w:t>第二合作者</w:t>
            </w:r>
          </w:p>
        </w:tc>
        <w:tc>
          <w:tcPr>
            <w:tcW w:w="1509" w:type="dxa"/>
            <w:vAlign w:val="center"/>
          </w:tcPr>
          <w:p w14:paraId="706CD77B" w14:textId="77777777" w:rsidR="00CD6FC5" w:rsidRDefault="00CD6FC5" w:rsidP="007D5E72">
            <w:pPr>
              <w:widowControl/>
              <w:adjustRightInd w:val="0"/>
              <w:snapToGrid w:val="0"/>
              <w:spacing w:line="240" w:lineRule="atLeast"/>
              <w:jc w:val="center"/>
              <w:rPr>
                <w:rFonts w:ascii="Times New Roman" w:eastAsia="仿宋_GB2312" w:hAnsi="Times New Roman" w:cs="Arial"/>
                <w:b/>
                <w:kern w:val="0"/>
                <w:sz w:val="28"/>
                <w:szCs w:val="28"/>
              </w:rPr>
            </w:pPr>
            <w:r>
              <w:rPr>
                <w:rFonts w:ascii="Times New Roman" w:eastAsia="仿宋_GB2312" w:hAnsi="Times New Roman" w:cs="Arial" w:hint="eastAsia"/>
                <w:b/>
                <w:kern w:val="0"/>
                <w:sz w:val="28"/>
                <w:szCs w:val="28"/>
              </w:rPr>
              <w:t>第三合作者</w:t>
            </w:r>
          </w:p>
        </w:tc>
        <w:tc>
          <w:tcPr>
            <w:tcW w:w="1510" w:type="dxa"/>
            <w:vAlign w:val="center"/>
          </w:tcPr>
          <w:p w14:paraId="1A938432" w14:textId="77777777" w:rsidR="00CD6FC5" w:rsidRDefault="00CD6FC5" w:rsidP="007D5E72">
            <w:pPr>
              <w:widowControl/>
              <w:adjustRightInd w:val="0"/>
              <w:snapToGrid w:val="0"/>
              <w:spacing w:line="240" w:lineRule="atLeast"/>
              <w:jc w:val="center"/>
              <w:rPr>
                <w:rFonts w:ascii="Times New Roman" w:eastAsia="仿宋_GB2312" w:hAnsi="Times New Roman" w:cs="Arial"/>
                <w:b/>
                <w:kern w:val="0"/>
                <w:sz w:val="28"/>
                <w:szCs w:val="28"/>
              </w:rPr>
            </w:pPr>
            <w:r>
              <w:rPr>
                <w:rFonts w:ascii="Times New Roman" w:eastAsia="仿宋_GB2312" w:hAnsi="Times New Roman" w:cs="Arial" w:hint="eastAsia"/>
                <w:b/>
                <w:kern w:val="0"/>
                <w:sz w:val="28"/>
                <w:szCs w:val="28"/>
              </w:rPr>
              <w:t>第四合作者</w:t>
            </w:r>
          </w:p>
        </w:tc>
      </w:tr>
      <w:tr w:rsidR="00CD6FC5" w14:paraId="1D92787A" w14:textId="77777777" w:rsidTr="007D5E72">
        <w:trPr>
          <w:cantSplit/>
          <w:trHeight w:val="469"/>
        </w:trPr>
        <w:tc>
          <w:tcPr>
            <w:tcW w:w="1509" w:type="dxa"/>
            <w:vAlign w:val="center"/>
          </w:tcPr>
          <w:p w14:paraId="32F0D749"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2</w:t>
            </w:r>
          </w:p>
        </w:tc>
        <w:tc>
          <w:tcPr>
            <w:tcW w:w="1510" w:type="dxa"/>
            <w:vAlign w:val="center"/>
          </w:tcPr>
          <w:p w14:paraId="5C7FDF83"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70%</w:t>
            </w:r>
          </w:p>
        </w:tc>
        <w:tc>
          <w:tcPr>
            <w:tcW w:w="1509" w:type="dxa"/>
            <w:vAlign w:val="center"/>
          </w:tcPr>
          <w:p w14:paraId="30AE962F"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30%</w:t>
            </w:r>
          </w:p>
        </w:tc>
        <w:tc>
          <w:tcPr>
            <w:tcW w:w="1510" w:type="dxa"/>
            <w:vAlign w:val="center"/>
          </w:tcPr>
          <w:p w14:paraId="34C44AA3"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w:t>
            </w:r>
          </w:p>
        </w:tc>
        <w:tc>
          <w:tcPr>
            <w:tcW w:w="1509" w:type="dxa"/>
            <w:vAlign w:val="center"/>
          </w:tcPr>
          <w:p w14:paraId="69702694"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w:t>
            </w:r>
          </w:p>
        </w:tc>
        <w:tc>
          <w:tcPr>
            <w:tcW w:w="1510" w:type="dxa"/>
            <w:vAlign w:val="center"/>
          </w:tcPr>
          <w:p w14:paraId="0E84F407"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w:t>
            </w:r>
          </w:p>
        </w:tc>
      </w:tr>
      <w:tr w:rsidR="00CD6FC5" w14:paraId="409A0EEB" w14:textId="77777777" w:rsidTr="007D5E72">
        <w:trPr>
          <w:cantSplit/>
          <w:trHeight w:val="495"/>
        </w:trPr>
        <w:tc>
          <w:tcPr>
            <w:tcW w:w="1509" w:type="dxa"/>
            <w:vAlign w:val="center"/>
          </w:tcPr>
          <w:p w14:paraId="1724A22F"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3</w:t>
            </w:r>
          </w:p>
        </w:tc>
        <w:tc>
          <w:tcPr>
            <w:tcW w:w="1510" w:type="dxa"/>
            <w:vAlign w:val="center"/>
          </w:tcPr>
          <w:p w14:paraId="736EB1F3"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60%</w:t>
            </w:r>
          </w:p>
        </w:tc>
        <w:tc>
          <w:tcPr>
            <w:tcW w:w="1509" w:type="dxa"/>
            <w:vAlign w:val="center"/>
          </w:tcPr>
          <w:p w14:paraId="78AD9F0D"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25%</w:t>
            </w:r>
          </w:p>
        </w:tc>
        <w:tc>
          <w:tcPr>
            <w:tcW w:w="1510" w:type="dxa"/>
            <w:vAlign w:val="center"/>
          </w:tcPr>
          <w:p w14:paraId="37BBA597"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15%</w:t>
            </w:r>
          </w:p>
        </w:tc>
        <w:tc>
          <w:tcPr>
            <w:tcW w:w="1509" w:type="dxa"/>
            <w:vAlign w:val="center"/>
          </w:tcPr>
          <w:p w14:paraId="34CC730A"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w:t>
            </w:r>
          </w:p>
        </w:tc>
        <w:tc>
          <w:tcPr>
            <w:tcW w:w="1510" w:type="dxa"/>
            <w:vAlign w:val="center"/>
          </w:tcPr>
          <w:p w14:paraId="226610AA"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w:t>
            </w:r>
          </w:p>
        </w:tc>
      </w:tr>
      <w:tr w:rsidR="00CD6FC5" w14:paraId="1ECBB88D" w14:textId="77777777" w:rsidTr="007D5E72">
        <w:trPr>
          <w:cantSplit/>
          <w:trHeight w:val="506"/>
        </w:trPr>
        <w:tc>
          <w:tcPr>
            <w:tcW w:w="1509" w:type="dxa"/>
            <w:vAlign w:val="center"/>
          </w:tcPr>
          <w:p w14:paraId="713B19F2"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4</w:t>
            </w:r>
          </w:p>
        </w:tc>
        <w:tc>
          <w:tcPr>
            <w:tcW w:w="1510" w:type="dxa"/>
            <w:vAlign w:val="center"/>
          </w:tcPr>
          <w:p w14:paraId="035F4B2F"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50%</w:t>
            </w:r>
          </w:p>
        </w:tc>
        <w:tc>
          <w:tcPr>
            <w:tcW w:w="1509" w:type="dxa"/>
            <w:vAlign w:val="center"/>
          </w:tcPr>
          <w:p w14:paraId="79D3FDB2"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25%</w:t>
            </w:r>
          </w:p>
        </w:tc>
        <w:tc>
          <w:tcPr>
            <w:tcW w:w="1510" w:type="dxa"/>
            <w:vAlign w:val="center"/>
          </w:tcPr>
          <w:p w14:paraId="54B89BA3"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15%</w:t>
            </w:r>
          </w:p>
        </w:tc>
        <w:tc>
          <w:tcPr>
            <w:tcW w:w="1509" w:type="dxa"/>
            <w:vAlign w:val="center"/>
          </w:tcPr>
          <w:p w14:paraId="49378D5D"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10%</w:t>
            </w:r>
          </w:p>
        </w:tc>
        <w:tc>
          <w:tcPr>
            <w:tcW w:w="1510" w:type="dxa"/>
            <w:vAlign w:val="center"/>
          </w:tcPr>
          <w:p w14:paraId="7336F7C2"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w:t>
            </w:r>
          </w:p>
        </w:tc>
      </w:tr>
      <w:tr w:rsidR="00CD6FC5" w14:paraId="45F10285" w14:textId="77777777" w:rsidTr="007D5E72">
        <w:trPr>
          <w:cantSplit/>
          <w:trHeight w:val="507"/>
        </w:trPr>
        <w:tc>
          <w:tcPr>
            <w:tcW w:w="1509" w:type="dxa"/>
            <w:vAlign w:val="center"/>
          </w:tcPr>
          <w:p w14:paraId="0873C26E"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5</w:t>
            </w:r>
          </w:p>
        </w:tc>
        <w:tc>
          <w:tcPr>
            <w:tcW w:w="1510" w:type="dxa"/>
            <w:vAlign w:val="center"/>
          </w:tcPr>
          <w:p w14:paraId="5BF6BB31"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50%</w:t>
            </w:r>
          </w:p>
        </w:tc>
        <w:tc>
          <w:tcPr>
            <w:tcW w:w="1509" w:type="dxa"/>
            <w:vAlign w:val="center"/>
          </w:tcPr>
          <w:p w14:paraId="237840B6"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20%</w:t>
            </w:r>
          </w:p>
        </w:tc>
        <w:tc>
          <w:tcPr>
            <w:tcW w:w="1510" w:type="dxa"/>
            <w:vAlign w:val="center"/>
          </w:tcPr>
          <w:p w14:paraId="57574DE6"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15%</w:t>
            </w:r>
          </w:p>
        </w:tc>
        <w:tc>
          <w:tcPr>
            <w:tcW w:w="1509" w:type="dxa"/>
            <w:vAlign w:val="center"/>
          </w:tcPr>
          <w:p w14:paraId="4B544AD8"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10%</w:t>
            </w:r>
          </w:p>
        </w:tc>
        <w:tc>
          <w:tcPr>
            <w:tcW w:w="1510" w:type="dxa"/>
            <w:vAlign w:val="center"/>
          </w:tcPr>
          <w:p w14:paraId="7BC81595"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5%</w:t>
            </w:r>
          </w:p>
        </w:tc>
      </w:tr>
      <w:tr w:rsidR="00CD6FC5" w14:paraId="0BC22D3E" w14:textId="77777777" w:rsidTr="007D5E72">
        <w:trPr>
          <w:cantSplit/>
          <w:trHeight w:val="550"/>
        </w:trPr>
        <w:tc>
          <w:tcPr>
            <w:tcW w:w="1509" w:type="dxa"/>
            <w:vAlign w:val="center"/>
          </w:tcPr>
          <w:p w14:paraId="49FA78DD"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w:t>
            </w:r>
            <w:r>
              <w:rPr>
                <w:rFonts w:ascii="Times New Roman" w:eastAsia="仿宋_GB2312" w:hAnsi="Times New Roman" w:cs="Arial" w:hint="eastAsia"/>
                <w:kern w:val="0"/>
                <w:sz w:val="28"/>
                <w:szCs w:val="28"/>
              </w:rPr>
              <w:t>6</w:t>
            </w:r>
          </w:p>
        </w:tc>
        <w:tc>
          <w:tcPr>
            <w:tcW w:w="1510" w:type="dxa"/>
            <w:vAlign w:val="center"/>
          </w:tcPr>
          <w:p w14:paraId="28FB9A3E"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50%</w:t>
            </w:r>
          </w:p>
        </w:tc>
        <w:tc>
          <w:tcPr>
            <w:tcW w:w="6038" w:type="dxa"/>
            <w:gridSpan w:val="4"/>
            <w:vAlign w:val="center"/>
          </w:tcPr>
          <w:p w14:paraId="5758FBD6" w14:textId="77777777" w:rsidR="00CD6FC5" w:rsidRDefault="00CD6FC5" w:rsidP="007D5E72">
            <w:pPr>
              <w:widowControl/>
              <w:adjustRightInd w:val="0"/>
              <w:snapToGrid w:val="0"/>
              <w:spacing w:line="240" w:lineRule="atLeast"/>
              <w:jc w:val="center"/>
              <w:rPr>
                <w:rFonts w:ascii="Times New Roman" w:eastAsia="仿宋_GB2312" w:hAnsi="Times New Roman" w:cs="Arial"/>
                <w:kern w:val="0"/>
                <w:sz w:val="28"/>
                <w:szCs w:val="28"/>
              </w:rPr>
            </w:pPr>
            <w:r>
              <w:rPr>
                <w:rFonts w:ascii="Times New Roman" w:eastAsia="仿宋_GB2312" w:hAnsi="Times New Roman" w:cs="Arial" w:hint="eastAsia"/>
                <w:kern w:val="0"/>
                <w:sz w:val="28"/>
                <w:szCs w:val="28"/>
              </w:rPr>
              <w:t>其余合作者平均分配</w:t>
            </w:r>
          </w:p>
        </w:tc>
      </w:tr>
    </w:tbl>
    <w:p w14:paraId="334E579A" w14:textId="77777777" w:rsidR="00CD6FC5" w:rsidRDefault="00CD6FC5" w:rsidP="00CD6FC5">
      <w:pPr>
        <w:adjustRightInd w:val="0"/>
        <w:snapToGrid w:val="0"/>
        <w:spacing w:beforeLines="50" w:before="156"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第十条</w:t>
      </w:r>
      <w:r>
        <w:rPr>
          <w:rFonts w:ascii="Times New Roman" w:eastAsia="仿宋_GB2312" w:hAnsi="Times New Roman" w:cs="Arial" w:hint="eastAsia"/>
          <w:sz w:val="32"/>
          <w:szCs w:val="32"/>
        </w:rPr>
        <w:t xml:space="preserve">　优秀网络文化成果不得重复认定教学业绩、科研业绩、学校认定范围内的学科竞赛成果。</w:t>
      </w:r>
    </w:p>
    <w:p w14:paraId="5F836BA3"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第十一条</w:t>
      </w:r>
      <w:r>
        <w:rPr>
          <w:rFonts w:ascii="Times New Roman" w:eastAsia="仿宋_GB2312" w:hAnsi="Times New Roman" w:cs="Arial" w:hint="eastAsia"/>
          <w:sz w:val="32"/>
          <w:szCs w:val="32"/>
        </w:rPr>
        <w:t xml:space="preserve">　本办法所称的各类媒体、平台范围包括但不限于</w:t>
      </w:r>
      <w:proofErr w:type="gramStart"/>
      <w:r>
        <w:rPr>
          <w:rFonts w:ascii="Times New Roman" w:eastAsia="仿宋_GB2312" w:hAnsi="Times New Roman" w:cs="Arial" w:hint="eastAsia"/>
          <w:sz w:val="32"/>
          <w:szCs w:val="32"/>
        </w:rPr>
        <w:t>国家网信办公</w:t>
      </w:r>
      <w:proofErr w:type="gramEnd"/>
      <w:r>
        <w:rPr>
          <w:rFonts w:ascii="Times New Roman" w:eastAsia="仿宋_GB2312" w:hAnsi="Times New Roman" w:cs="Arial" w:hint="eastAsia"/>
          <w:sz w:val="32"/>
          <w:szCs w:val="32"/>
        </w:rPr>
        <w:t>布的最新版《互联网新闻信息稿源单位名单》。</w:t>
      </w:r>
    </w:p>
    <w:p w14:paraId="4FC52B00" w14:textId="77777777" w:rsidR="00CD6FC5" w:rsidRDefault="00CD6FC5" w:rsidP="00CD6FC5">
      <w:pPr>
        <w:adjustRightInd w:val="0"/>
        <w:snapToGrid w:val="0"/>
        <w:spacing w:line="560" w:lineRule="exact"/>
        <w:ind w:firstLineChars="200" w:firstLine="640"/>
        <w:rPr>
          <w:rFonts w:ascii="Times New Roman" w:eastAsia="仿宋_GB2312" w:hAnsi="Times New Roman" w:cs="Arial"/>
          <w:sz w:val="32"/>
          <w:szCs w:val="32"/>
        </w:rPr>
      </w:pPr>
      <w:r>
        <w:rPr>
          <w:rFonts w:ascii="Times New Roman" w:eastAsia="黑体" w:hAnsi="Times New Roman" w:cs="Arial" w:hint="eastAsia"/>
          <w:bCs/>
          <w:sz w:val="32"/>
          <w:szCs w:val="32"/>
        </w:rPr>
        <w:t>第十二条</w:t>
      </w:r>
      <w:r>
        <w:rPr>
          <w:rFonts w:ascii="Times New Roman" w:eastAsia="仿宋_GB2312" w:hAnsi="Times New Roman" w:cs="Arial" w:hint="eastAsia"/>
          <w:sz w:val="32"/>
          <w:szCs w:val="32"/>
        </w:rPr>
        <w:t xml:space="preserve">　在境外平台产生的网络文化成果，在符合学校奖励性绩效管理政策前提下参照管理。</w:t>
      </w:r>
    </w:p>
    <w:p w14:paraId="5A0F7039" w14:textId="77777777" w:rsidR="00CD6FC5" w:rsidRDefault="00CD6FC5" w:rsidP="00CD6FC5">
      <w:pPr>
        <w:adjustRightInd w:val="0"/>
        <w:snapToGrid w:val="0"/>
        <w:spacing w:line="560" w:lineRule="exact"/>
        <w:ind w:firstLineChars="200" w:firstLine="640"/>
        <w:rPr>
          <w:rFonts w:ascii="Times New Roman" w:eastAsia="仿宋_GB2312" w:hAnsi="Times New Roman"/>
          <w:sz w:val="32"/>
          <w:szCs w:val="20"/>
        </w:rPr>
      </w:pPr>
      <w:r>
        <w:rPr>
          <w:rFonts w:ascii="Times New Roman" w:eastAsia="黑体" w:hAnsi="Times New Roman" w:cs="Arial" w:hint="eastAsia"/>
          <w:bCs/>
          <w:sz w:val="32"/>
          <w:szCs w:val="32"/>
        </w:rPr>
        <w:t>第十三条</w:t>
      </w:r>
      <w:r>
        <w:rPr>
          <w:rFonts w:ascii="Times New Roman" w:eastAsia="仿宋_GB2312" w:hAnsi="Times New Roman" w:cs="Arial" w:hint="eastAsia"/>
          <w:sz w:val="32"/>
          <w:szCs w:val="32"/>
        </w:rPr>
        <w:t xml:space="preserve">　本办法自发布之日起施行，由宣传部、社科处负责解释。</w:t>
      </w:r>
    </w:p>
    <w:p w14:paraId="64F6E4CA" w14:textId="77777777" w:rsidR="0056037A" w:rsidRPr="00CD6FC5" w:rsidRDefault="0056037A"/>
    <w:sectPr w:rsidR="0056037A" w:rsidRPr="00CD6FC5">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楷体">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D6FC5"/>
    <w:rsid w:val="0056037A"/>
    <w:rsid w:val="00CD6F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E1B431B"/>
  <w15:chartTrackingRefBased/>
  <w15:docId w15:val="{D9B74757-0ACB-43A9-A28D-38EDDAFD8A1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CD6FC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4</Pages>
  <Words>308</Words>
  <Characters>1761</Characters>
  <Application>Microsoft Office Word</Application>
  <DocSecurity>0</DocSecurity>
  <Lines>14</Lines>
  <Paragraphs>4</Paragraphs>
  <ScaleCrop>false</ScaleCrop>
  <Company/>
  <LinksUpToDate>false</LinksUpToDate>
  <CharactersWithSpaces>2065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黄丹</dc:creator>
  <cp:keywords/>
  <dc:description/>
  <cp:lastModifiedBy>黄丹</cp:lastModifiedBy>
  <cp:revision>1</cp:revision>
  <dcterms:created xsi:type="dcterms:W3CDTF">2023-04-25T00:51:00Z</dcterms:created>
  <dcterms:modified xsi:type="dcterms:W3CDTF">2023-04-25T00:51:00Z</dcterms:modified>
</cp:coreProperties>
</file>