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1A15FE">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14:paraId="5DEE2B68">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left"/>
        <w:textAlignment w:val="auto"/>
        <w:rPr>
          <w:rFonts w:hint="default" w:ascii="Times New Roman" w:hAnsi="Times New Roman" w:eastAsia="黑体" w:cs="Times New Roman"/>
          <w:sz w:val="32"/>
          <w:szCs w:val="32"/>
        </w:rPr>
      </w:pPr>
    </w:p>
    <w:p w14:paraId="390FBEB7">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“贯彻落实中非合作论坛北京峰会成果，</w:t>
      </w:r>
    </w:p>
    <w:p w14:paraId="6B3B3979">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打造新时代中非地方合作</w:t>
      </w:r>
      <w:r>
        <w:rPr>
          <w:rFonts w:hint="default" w:ascii="Times New Roman" w:hAnsi="Times New Roman" w:eastAsia="方正小标宋简体" w:cs="Times New Roman"/>
          <w:sz w:val="44"/>
          <w:szCs w:val="44"/>
          <w:lang w:eastAsia="zh-CN"/>
        </w:rPr>
        <w:t>典范</w:t>
      </w:r>
      <w:r>
        <w:rPr>
          <w:rFonts w:hint="default" w:ascii="Times New Roman" w:hAnsi="Times New Roman" w:eastAsia="方正小标宋简体" w:cs="Times New Roman"/>
          <w:sz w:val="44"/>
          <w:szCs w:val="44"/>
        </w:rPr>
        <w:t>”课题</w:t>
      </w:r>
    </w:p>
    <w:p w14:paraId="03061369">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选题指南</w:t>
      </w:r>
    </w:p>
    <w:p w14:paraId="60E0E4CA">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left"/>
        <w:textAlignment w:val="auto"/>
        <w:outlineLvl w:val="0"/>
        <w:rPr>
          <w:rFonts w:hint="default" w:ascii="Times New Roman" w:hAnsi="Times New Roman" w:eastAsia="楷体_GB2312" w:cs="Times New Roman"/>
          <w:b/>
          <w:bCs/>
          <w:color w:val="000000"/>
          <w:sz w:val="32"/>
          <w:szCs w:val="36"/>
        </w:rPr>
      </w:pPr>
    </w:p>
    <w:p w14:paraId="617E63B0">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一、</w:t>
      </w:r>
      <w:r>
        <w:rPr>
          <w:rFonts w:hint="default" w:ascii="Times New Roman" w:hAnsi="Times New Roman" w:eastAsia="黑体" w:cs="Times New Roman"/>
          <w:b w:val="0"/>
          <w:bCs w:val="0"/>
          <w:color w:val="000000" w:themeColor="text1"/>
          <w:sz w:val="32"/>
          <w:szCs w:val="36"/>
          <w14:textFill>
            <w14:solidFill>
              <w14:schemeClr w14:val="tx1"/>
            </w14:solidFill>
          </w14:textFill>
        </w:rPr>
        <w:t>理论与哲学研究</w:t>
      </w:r>
    </w:p>
    <w:p w14:paraId="3B461421">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1.中国化的马克思主义在非洲的传播与实践</w:t>
      </w:r>
    </w:p>
    <w:p w14:paraId="4FDF3E75">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2.上世纪六七十年代非洲民族解放运动对非洲国家道路选择及当代中非合作的影响研究——以东南部非洲十国为案例</w:t>
      </w:r>
    </w:p>
    <w:p w14:paraId="23A895BC">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6"/>
          <w14:textFill>
            <w14:solidFill>
              <w14:schemeClr w14:val="tx1"/>
            </w14:solidFill>
          </w14:textFill>
        </w:rPr>
        <w:t>中非拉命运共同体视域下的马克思主义解放哲学研究</w:t>
      </w:r>
    </w:p>
    <w:p w14:paraId="2CBD7B85">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二、经贸与投资合作</w:t>
      </w:r>
    </w:p>
    <w:p w14:paraId="7E5196E9">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4.中国电商平台在非洲本地化运营模式创新研究</w:t>
      </w:r>
    </w:p>
    <w:p w14:paraId="5546CF3F">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5.中非标准“软联通”的金华探索与实践研究▲</w:t>
      </w:r>
    </w:p>
    <w:p w14:paraId="78AFFD22">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6.金华企业在非洲区域国别本土化经营的案例研究</w:t>
      </w:r>
    </w:p>
    <w:p w14:paraId="5EC102B7">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7.金华金融机构有效赋能对非贸易投资的路径与对策研究</w:t>
      </w:r>
    </w:p>
    <w:p w14:paraId="617ACD3B">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8.零关税背景下浙江企业扩大对非区域国别行业领域投资贸易合作的机遇与对策研究</w:t>
      </w:r>
    </w:p>
    <w:p w14:paraId="3338D4CD">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9.中国在非交通基础设施合作与产业发展协同机制与路径研究</w:t>
      </w:r>
    </w:p>
    <w:p w14:paraId="49A796D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三、关键矿产与资源</w:t>
      </w:r>
    </w:p>
    <w:p w14:paraId="479C5B1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10.非洲国家关键矿产资源本土化战略研究▲</w:t>
      </w:r>
    </w:p>
    <w:p w14:paraId="274FDE2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11.大国对非洲关键矿产资源博弈研究▲</w:t>
      </w:r>
    </w:p>
    <w:p w14:paraId="533C4BE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12.非洲区域国别环境与能源法治演进新趋势研究</w:t>
      </w:r>
    </w:p>
    <w:p w14:paraId="1328E70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四、农业合作</w:t>
      </w:r>
    </w:p>
    <w:p w14:paraId="55A302A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13.中国与非洲区域国别农业合作调研与案例研究</w:t>
      </w:r>
    </w:p>
    <w:p w14:paraId="2B393F7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14.扩大非洲农产品进入中国市场的政策与路径研究</w:t>
      </w:r>
    </w:p>
    <w:p w14:paraId="2E278F3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五、科技与数字化合作</w:t>
      </w:r>
    </w:p>
    <w:p w14:paraId="1ED1AB4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15.非洲典型国家科技发展现状调研与研究</w:t>
      </w:r>
    </w:p>
    <w:p w14:paraId="5EF4F4A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16.面向非洲能源缺口的“光伏+低空”产业融合出海与智能运维模式研究</w:t>
      </w:r>
    </w:p>
    <w:p w14:paraId="5719B8F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17.中非交通基础设施合作模式创新与非洲差异化综合交通体系构建研究</w:t>
      </w:r>
    </w:p>
    <w:p w14:paraId="2104DA8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六、教育合作</w:t>
      </w:r>
    </w:p>
    <w:p w14:paraId="38C96FE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18.中国发展学在非洲高校的本土化落地研究▲</w:t>
      </w:r>
    </w:p>
    <w:p w14:paraId="4874F14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19.非洲区域国别人力资源调研与数据库建设</w:t>
      </w:r>
    </w:p>
    <w:p w14:paraId="05102A0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20.</w:t>
      </w:r>
      <w:r>
        <w:rPr>
          <w:rFonts w:hint="default" w:ascii="Times New Roman" w:hAnsi="Times New Roman" w:eastAsia="仿宋_GB2312" w:cs="Times New Roman"/>
          <w:color w:val="000000" w:themeColor="text1"/>
          <w:spacing w:val="-6"/>
          <w:sz w:val="32"/>
          <w:szCs w:val="36"/>
          <w:lang w:val="en-US" w:eastAsia="zh-CN"/>
          <w14:textFill>
            <w14:solidFill>
              <w14:schemeClr w14:val="tx1"/>
            </w14:solidFill>
          </w14:textFill>
        </w:rPr>
        <w:t>非洲孔子学院向区域教育合作枢纽转型的路径与机制研究</w:t>
      </w:r>
    </w:p>
    <w:p w14:paraId="1984234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21.中非产业合作背景下中非高校工科教育合作研究</w:t>
      </w:r>
    </w:p>
    <w:p w14:paraId="2F119E6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22.非洲区域国别人力资源调研与数据库建设</w:t>
      </w:r>
    </w:p>
    <w:p w14:paraId="7299C97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七、语言与传播</w:t>
      </w:r>
    </w:p>
    <w:p w14:paraId="04492FF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23.浙江师范大学非洲区域国别学在非影响力提升研究</w:t>
      </w:r>
    </w:p>
    <w:p w14:paraId="005E9F3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24.AI赋能中非语言合作的创新路径与对策研究</w:t>
      </w:r>
    </w:p>
    <w:p w14:paraId="3B473C9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八、文化、文学与人文交流</w:t>
      </w:r>
    </w:p>
    <w:p w14:paraId="21B6EE8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25.“中国-非洲共享童年”大型双语绘本翻译出版与数字阅读工程</w:t>
      </w:r>
    </w:p>
    <w:p w14:paraId="1A6DDA0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26.非洲图案、色彩象征符号的文化人类学阐释</w:t>
      </w:r>
    </w:p>
    <w:p w14:paraId="4297AEA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27.“水墨非洲”实践探索与中非人文交流创新案例研究</w:t>
      </w:r>
    </w:p>
    <w:p w14:paraId="4F8751D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28.中非人文交流70年编年史▲</w:t>
      </w:r>
    </w:p>
    <w:p w14:paraId="3255DD8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29.中非非物质文化遗产保护合作研究</w:t>
      </w:r>
    </w:p>
    <w:p w14:paraId="4E0427C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30.中坦百年关系史</w:t>
      </w:r>
    </w:p>
    <w:p w14:paraId="5AA781D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31.中国-埃塞百年关系史</w:t>
      </w:r>
    </w:p>
    <w:p w14:paraId="421699E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32.中国-几内亚百年关系史</w:t>
      </w:r>
    </w:p>
    <w:p w14:paraId="1201371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33.南苏丹公众的中国国家形象认知及中南人文交流研究</w:t>
      </w:r>
    </w:p>
    <w:p w14:paraId="52D1BDF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九、政治、治理与地缘安全</w:t>
      </w:r>
    </w:p>
    <w:p w14:paraId="608ADEC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34.西方在非政治陷阱及破解研究</w:t>
      </w:r>
    </w:p>
    <w:p w14:paraId="2766370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35.非洲区域国别政治发展研究</w:t>
      </w:r>
    </w:p>
    <w:p w14:paraId="0E73270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36.全球南方共同安全与发展研究</w:t>
      </w:r>
    </w:p>
    <w:p w14:paraId="4FCFF6F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37.非洲区域国别政党研究</w:t>
      </w:r>
    </w:p>
    <w:p w14:paraId="497C14C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38.中国在非洲区域国别企业与公民利益保护研究</w:t>
      </w:r>
    </w:p>
    <w:p w14:paraId="2D4E1B8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39.国际组织在非国别机构对非洲发展影响研究</w:t>
      </w:r>
    </w:p>
    <w:p w14:paraId="68DD85D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40.中非合作引领全球南方合作研究</w:t>
      </w:r>
    </w:p>
    <w:p w14:paraId="1A5159D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十、法律与人权</w:t>
      </w:r>
    </w:p>
    <w:p w14:paraId="1601DA2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41.非洲区域国别人权发展与中非人权合作研究</w:t>
      </w:r>
    </w:p>
    <w:p w14:paraId="1D914AA1">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十一、华人华侨与族群</w:t>
      </w:r>
    </w:p>
    <w:p w14:paraId="490B3F3A">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42.在非华侨印侨比较研究▲</w:t>
      </w:r>
    </w:p>
    <w:p w14:paraId="122B7130">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十二、妇女与青年发展</w:t>
      </w:r>
    </w:p>
    <w:p w14:paraId="0BC03D29">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43.非洲区域国别妇女发展权益研究</w:t>
      </w:r>
    </w:p>
    <w:p w14:paraId="7F462327">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十三、体育与旅游合作</w:t>
      </w:r>
    </w:p>
    <w:p w14:paraId="1EC6B026">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44.中非区域国别文旅产业融合发展研究</w:t>
      </w:r>
    </w:p>
    <w:p w14:paraId="514AB58D">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45.中非体育产业合作研究</w:t>
      </w:r>
    </w:p>
    <w:p w14:paraId="47CC2C12">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十四、区域国别与智库建设</w:t>
      </w:r>
    </w:p>
    <w:p w14:paraId="2358B088">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46.数字非洲数据库与展示系统建设专项▲</w:t>
      </w:r>
    </w:p>
    <w:p w14:paraId="5560AB15">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47.涉非学术期刊提质增效专项</w:t>
      </w:r>
    </w:p>
    <w:p w14:paraId="0DEA2559">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48.非洲研究院在非分院建设专项</w:t>
      </w:r>
    </w:p>
    <w:p w14:paraId="0B3626E8">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十五、地方合作专项（浙江/金华）</w:t>
      </w:r>
    </w:p>
    <w:p w14:paraId="25475B7D">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49.浙江（金华）参与“一带一路”建设发展报告</w:t>
      </w:r>
    </w:p>
    <w:p w14:paraId="03780614">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50.浙非合作蓝皮书▲</w:t>
      </w:r>
    </w:p>
    <w:p w14:paraId="2F8B0991">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51.浙江对外开放合作发展报告（国别卷）</w:t>
      </w:r>
    </w:p>
    <w:p w14:paraId="13C97FDB">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52.“农机、农艺、农科、农教”四位一体探索金华对非农业科技合作的总体方案和实施路径</w:t>
      </w:r>
    </w:p>
    <w:p w14:paraId="4726B468">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53义乌国际商贸城中非企业合作平台建设专项</w:t>
      </w:r>
    </w:p>
    <w:p w14:paraId="3B64EA94">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54.基于产业带优势的金华对非跨境数字贸易协同发展研究</w:t>
      </w:r>
    </w:p>
    <w:p w14:paraId="7B3BEAE5">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t>55.“中非经贸和文化论坛”高质量可持续发展研究</w:t>
      </w:r>
    </w:p>
    <w:p w14:paraId="0441C70F">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outlineLvl w:val="0"/>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pPr>
      <w:r>
        <w:rPr>
          <w:rFonts w:hint="eastAsia" w:ascii="Times New Roman" w:hAnsi="Times New Roman" w:eastAsia="黑体" w:cs="Times New Roman"/>
          <w:b w:val="0"/>
          <w:bCs w:val="0"/>
          <w:color w:val="000000" w:themeColor="text1"/>
          <w:sz w:val="32"/>
          <w:szCs w:val="36"/>
          <w:lang w:val="en-US" w:eastAsia="zh-CN"/>
          <w14:textFill>
            <w14:solidFill>
              <w14:schemeClr w14:val="tx1"/>
            </w14:solidFill>
          </w14:textFill>
        </w:rPr>
        <w:t>十六、</w:t>
      </w:r>
      <w:r>
        <w:rPr>
          <w:rFonts w:hint="default" w:ascii="Times New Roman" w:hAnsi="Times New Roman" w:eastAsia="黑体" w:cs="Times New Roman"/>
          <w:b w:val="0"/>
          <w:bCs w:val="0"/>
          <w:color w:val="000000" w:themeColor="text1"/>
          <w:sz w:val="32"/>
          <w:szCs w:val="36"/>
          <w:lang w:val="en-US" w:eastAsia="zh-CN"/>
          <w14:textFill>
            <w14:solidFill>
              <w14:schemeClr w14:val="tx1"/>
            </w14:solidFill>
          </w14:textFill>
        </w:rPr>
        <w:t>热点问题追踪研究</w:t>
      </w:r>
    </w:p>
    <w:p w14:paraId="1ADF5A3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themeColor="text1"/>
          <w:sz w:val="32"/>
          <w:szCs w:val="36"/>
          <w:lang w:val="en-US" w:eastAsia="zh-CN"/>
          <w14:textFill>
            <w14:solidFill>
              <w14:schemeClr w14:val="tx1"/>
            </w14:solidFill>
          </w14:textFill>
        </w:rPr>
      </w:pPr>
      <w:r>
        <w:rPr>
          <w:rFonts w:hint="default" w:ascii="Times New Roman" w:hAnsi="Times New Roman" w:eastAsia="仿宋_GB2312" w:cs="Times New Roman"/>
          <w:i w:val="0"/>
          <w:caps w:val="0"/>
          <w:color w:val="111111"/>
          <w:spacing w:val="0"/>
          <w:sz w:val="32"/>
          <w:szCs w:val="32"/>
          <w:shd w:val="clear" w:color="auto" w:fill="FFFFFF"/>
          <w:lang w:val="en-US" w:eastAsia="zh-CN"/>
        </w:rPr>
        <w:t>聚焦中</w:t>
      </w:r>
      <w:r>
        <w:rPr>
          <w:rFonts w:hint="default" w:ascii="Times New Roman" w:hAnsi="Times New Roman" w:eastAsia="仿宋_GB2312" w:cs="Times New Roman"/>
          <w:color w:val="auto"/>
          <w:kern w:val="2"/>
          <w:sz w:val="32"/>
          <w:szCs w:val="32"/>
          <w:lang w:val="en-US" w:eastAsia="zh-CN" w:bidi="ar-SA"/>
        </w:rPr>
        <w:t>非“十大伙伴行动”、合作推动“全球南方”现代化，时刻关注进程</w:t>
      </w:r>
      <w:r>
        <w:rPr>
          <w:rFonts w:hint="default" w:ascii="Times New Roman" w:hAnsi="Times New Roman" w:eastAsia="仿宋_GB2312" w:cs="Times New Roman"/>
          <w:i w:val="0"/>
          <w:caps w:val="0"/>
          <w:color w:val="111111"/>
          <w:spacing w:val="0"/>
          <w:sz w:val="32"/>
          <w:szCs w:val="32"/>
          <w:shd w:val="clear" w:color="auto" w:fill="FFFFFF"/>
          <w:lang w:val="en-US" w:eastAsia="zh-CN"/>
        </w:rPr>
        <w:t>中的问题障碍、热点事件、</w:t>
      </w:r>
      <w:r>
        <w:rPr>
          <w:rFonts w:hint="eastAsia" w:ascii="Times New Roman" w:hAnsi="Times New Roman" w:eastAsia="仿宋_GB2312" w:cs="Times New Roman"/>
          <w:i w:val="0"/>
          <w:caps w:val="0"/>
          <w:color w:val="111111"/>
          <w:spacing w:val="0"/>
          <w:sz w:val="32"/>
          <w:szCs w:val="32"/>
          <w:shd w:val="clear" w:color="auto" w:fill="FFFFFF"/>
          <w:lang w:val="en-US" w:eastAsia="zh-CN"/>
        </w:rPr>
        <w:t>涉国家安全</w:t>
      </w:r>
      <w:r>
        <w:rPr>
          <w:rFonts w:hint="default" w:ascii="Times New Roman" w:hAnsi="Times New Roman" w:eastAsia="仿宋_GB2312" w:cs="Times New Roman"/>
          <w:i w:val="0"/>
          <w:caps w:val="0"/>
          <w:color w:val="111111"/>
          <w:spacing w:val="0"/>
          <w:sz w:val="32"/>
          <w:szCs w:val="32"/>
          <w:shd w:val="clear" w:color="auto" w:fill="FFFFFF"/>
          <w:lang w:val="en-US" w:eastAsia="zh-CN"/>
        </w:rPr>
        <w:t>典型案例，剖析事件成因、判断形势走向、提出应对举措，形成对学术发展具有重要推动作用的应用对策性研究和具有原创性的理论研究成果，为地方党委政府乃至国家对非决策提供参考。成果通过专报获得国家领导、省</w:t>
      </w:r>
      <w:r>
        <w:rPr>
          <w:rFonts w:hint="eastAsia" w:ascii="Times New Roman" w:hAnsi="Times New Roman" w:eastAsia="仿宋_GB2312" w:cs="Times New Roman"/>
          <w:i w:val="0"/>
          <w:caps w:val="0"/>
          <w:color w:val="111111"/>
          <w:spacing w:val="0"/>
          <w:sz w:val="32"/>
          <w:szCs w:val="32"/>
          <w:shd w:val="clear" w:color="auto" w:fill="FFFFFF"/>
          <w:lang w:val="en-US" w:eastAsia="zh-CN"/>
        </w:rPr>
        <w:t>部级</w:t>
      </w:r>
      <w:r>
        <w:rPr>
          <w:rFonts w:hint="default" w:ascii="Times New Roman" w:hAnsi="Times New Roman" w:eastAsia="仿宋_GB2312" w:cs="Times New Roman"/>
          <w:i w:val="0"/>
          <w:caps w:val="0"/>
          <w:color w:val="111111"/>
          <w:spacing w:val="0"/>
          <w:sz w:val="32"/>
          <w:szCs w:val="32"/>
          <w:shd w:val="clear" w:color="auto" w:fill="FFFFFF"/>
          <w:lang w:val="en-US" w:eastAsia="zh-CN"/>
        </w:rPr>
        <w:t>主要领导批示</w:t>
      </w:r>
      <w:r>
        <w:rPr>
          <w:rFonts w:hint="eastAsia" w:ascii="Times New Roman" w:hAnsi="Times New Roman" w:eastAsia="仿宋_GB2312" w:cs="Times New Roman"/>
          <w:i w:val="0"/>
          <w:caps w:val="0"/>
          <w:color w:val="111111"/>
          <w:spacing w:val="0"/>
          <w:sz w:val="32"/>
          <w:szCs w:val="32"/>
          <w:shd w:val="clear" w:color="auto" w:fill="FFFFFF"/>
          <w:lang w:val="en-US" w:eastAsia="zh-CN"/>
        </w:rPr>
        <w:t>的，经评审后</w:t>
      </w:r>
      <w:r>
        <w:rPr>
          <w:rFonts w:hint="default" w:ascii="Times New Roman" w:hAnsi="Times New Roman" w:eastAsia="仿宋_GB2312" w:cs="Times New Roman"/>
          <w:i w:val="0"/>
          <w:caps w:val="0"/>
          <w:color w:val="111111"/>
          <w:spacing w:val="0"/>
          <w:sz w:val="32"/>
          <w:szCs w:val="32"/>
          <w:shd w:val="clear" w:color="auto" w:fill="FFFFFF"/>
          <w:lang w:val="en-US" w:eastAsia="zh-CN"/>
        </w:rPr>
        <w:t>予以</w:t>
      </w:r>
      <w:r>
        <w:rPr>
          <w:rFonts w:hint="eastAsia" w:ascii="Times New Roman" w:hAnsi="Times New Roman" w:eastAsia="仿宋_GB2312" w:cs="Times New Roman"/>
          <w:i w:val="0"/>
          <w:caps w:val="0"/>
          <w:color w:val="111111"/>
          <w:spacing w:val="0"/>
          <w:sz w:val="32"/>
          <w:szCs w:val="32"/>
          <w:shd w:val="clear" w:color="auto" w:fill="FFFFFF"/>
          <w:lang w:val="en-US" w:eastAsia="zh-CN"/>
        </w:rPr>
        <w:t>立项</w:t>
      </w:r>
      <w:r>
        <w:rPr>
          <w:rFonts w:hint="default" w:ascii="Times New Roman" w:hAnsi="Times New Roman" w:eastAsia="仿宋_GB2312" w:cs="Times New Roman"/>
          <w:i w:val="0"/>
          <w:caps w:val="0"/>
          <w:color w:val="111111"/>
          <w:spacing w:val="0"/>
          <w:sz w:val="32"/>
          <w:szCs w:val="32"/>
          <w:shd w:val="clear" w:color="auto" w:fill="FFFFFF"/>
          <w:lang w:val="en-US" w:eastAsia="zh-CN"/>
        </w:rPr>
        <w:t>。</w:t>
      </w:r>
    </w:p>
    <w:p w14:paraId="550A498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br w:type="page"/>
      </w:r>
    </w:p>
    <w:p w14:paraId="383DFE2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6379C8B-8248-4182-A73C-25C97E6E5D1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DDA6DC4-29C3-4DAC-8293-605956DF33A3}"/>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00000000000000000"/>
    <w:charset w:val="86"/>
    <w:family w:val="auto"/>
    <w:pitch w:val="default"/>
    <w:sig w:usb0="00000001" w:usb1="08000000" w:usb2="00000000" w:usb3="00000000" w:csb0="00040000" w:csb1="00000000"/>
    <w:embedRegular r:id="rId3" w:fontKey="{A9D56C30-912E-4AB6-863C-C0881C6DB175}"/>
  </w:font>
  <w:font w:name="楷体_GB2312">
    <w:altName w:val="楷体"/>
    <w:panose1 w:val="02010609030101010101"/>
    <w:charset w:val="86"/>
    <w:family w:val="auto"/>
    <w:pitch w:val="default"/>
    <w:sig w:usb0="00000000" w:usb1="00000000" w:usb2="00000000" w:usb3="00000000" w:csb0="00040000" w:csb1="00000000"/>
    <w:embedRegular r:id="rId4" w:fontKey="{3B5C52D2-8B5D-4570-9E3C-BA497995A079}"/>
  </w:font>
  <w:font w:name="仿宋_GB2312">
    <w:altName w:val="仿宋"/>
    <w:panose1 w:val="02010609030101010101"/>
    <w:charset w:val="86"/>
    <w:family w:val="auto"/>
    <w:pitch w:val="default"/>
    <w:sig w:usb0="00000000" w:usb1="00000000" w:usb2="00000000" w:usb3="00000000" w:csb0="00040000" w:csb1="00000000"/>
    <w:embedRegular r:id="rId5" w:fontKey="{FA122032-A992-49E0-92AB-F33FBCA9D2A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3E3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2026-03-30T08:22:57Z</dcterms:created>
  <dc:creator>admin</dc:creator>
  <cp:lastModifiedBy>陶微</cp:lastModifiedBy>
  <dcterms:modified xsi:type="dcterms:W3CDTF">2026-03-30T08:23:18Z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eyJoZGlkIjoiMjY0OGVjMDRjNzI2YjA1Yjg4MTk4MThmNjA1YmU4ZjAiLCJ1c2VySWQiOiIxNzM4MjIwMjUyIn0=</vt:lpwstr>
  </property>
  <property fmtid="{D5CDD505-2E9C-101B-9397-08002B2CF9AE}" pid="4" name="ICV">
    <vt:lpwstr>8C1C117AEF1040B8A26B31CB9A0BC7D2_12</vt:lpwstr>
  </property>
</Properties>
</file>