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CABCA">
      <w:pPr>
        <w:keepNext w:val="0"/>
        <w:keepLines w:val="0"/>
        <w:pageBreakBefore w:val="0"/>
        <w:widowControl/>
        <w:kinsoku/>
        <w:wordWrap/>
        <w:overflowPunct/>
        <w:topLinePunct w:val="0"/>
        <w:autoSpaceDE/>
        <w:autoSpaceDN/>
        <w:bidi w:val="0"/>
        <w:adjustRightInd/>
        <w:spacing w:line="560" w:lineRule="exact"/>
        <w:jc w:val="left"/>
        <w:rPr>
          <w:rFonts w:ascii="黑体" w:hAnsi="黑体" w:eastAsia="黑体"/>
          <w:sz w:val="32"/>
          <w:szCs w:val="32"/>
        </w:rPr>
      </w:pPr>
      <w:r>
        <w:rPr>
          <w:rFonts w:hint="eastAsia" w:ascii="黑体" w:hAnsi="黑体" w:eastAsia="黑体"/>
          <w:sz w:val="32"/>
          <w:szCs w:val="32"/>
        </w:rPr>
        <w:t>附件1</w:t>
      </w:r>
    </w:p>
    <w:p w14:paraId="29DE40A0">
      <w:pPr>
        <w:keepNext w:val="0"/>
        <w:keepLines w:val="0"/>
        <w:pageBreakBefore w:val="0"/>
        <w:kinsoku/>
        <w:wordWrap/>
        <w:overflowPunct/>
        <w:topLinePunct w:val="0"/>
        <w:autoSpaceDE/>
        <w:autoSpaceDN/>
        <w:bidi w:val="0"/>
        <w:adjustRightInd/>
        <w:snapToGrid w:val="0"/>
        <w:spacing w:line="560" w:lineRule="exact"/>
        <w:jc w:val="center"/>
        <w:textAlignment w:val="baseline"/>
        <w:rPr>
          <w:rFonts w:hint="eastAsia" w:ascii="方正小标宋简体" w:eastAsia="方正小标宋简体"/>
          <w:sz w:val="44"/>
          <w:szCs w:val="44"/>
        </w:rPr>
      </w:pPr>
    </w:p>
    <w:p w14:paraId="2424D94F">
      <w:pPr>
        <w:keepNext w:val="0"/>
        <w:keepLines w:val="0"/>
        <w:pageBreakBefore w:val="0"/>
        <w:kinsoku/>
        <w:wordWrap/>
        <w:overflowPunct/>
        <w:topLinePunct w:val="0"/>
        <w:autoSpaceDE/>
        <w:autoSpaceDN/>
        <w:bidi w:val="0"/>
        <w:adjustRightInd/>
        <w:snapToGrid w:val="0"/>
        <w:spacing w:line="560" w:lineRule="exact"/>
        <w:jc w:val="center"/>
        <w:textAlignment w:val="baseline"/>
        <w:rPr>
          <w:rFonts w:hint="eastAsia" w:ascii="方正小标宋简体" w:eastAsia="方正小标宋简体"/>
          <w:sz w:val="44"/>
          <w:szCs w:val="44"/>
        </w:rPr>
      </w:pPr>
      <w:r>
        <w:rPr>
          <w:rFonts w:hint="eastAsia" w:ascii="方正小标宋简体" w:eastAsia="方正小标宋简体"/>
          <w:sz w:val="44"/>
          <w:szCs w:val="44"/>
        </w:rPr>
        <w:t>浙江省文化广电旅游科技创新项目实施方案</w:t>
      </w:r>
    </w:p>
    <w:p w14:paraId="0EBBC0B7">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 xml:space="preserve"> </w:t>
      </w:r>
    </w:p>
    <w:p w14:paraId="3BA9F04F">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为深入推进我省文化广电旅游行业科技创新，充分发挥科技在文化广电旅游发展中的支撑引领作用，助力文化广电旅游高质量发展，决定开展浙江省文化广电旅游科技创新项目申报工作。现制定如下实施方案：</w:t>
      </w:r>
    </w:p>
    <w:p w14:paraId="6F4E248B">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黑体" w:hAnsi="黑体" w:eastAsia="黑体"/>
          <w:sz w:val="32"/>
          <w:szCs w:val="32"/>
        </w:rPr>
      </w:pPr>
      <w:r>
        <w:rPr>
          <w:rFonts w:hint="eastAsia" w:ascii="黑体" w:hAnsi="黑体" w:eastAsia="黑体"/>
          <w:sz w:val="32"/>
          <w:szCs w:val="32"/>
        </w:rPr>
        <w:t>一、基本原则</w:t>
      </w:r>
    </w:p>
    <w:p w14:paraId="4335A2AB">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围绕中心、服务大局。贯彻落实国家创新驱动发展战略，服务文化广电旅游科技领域重大战略和现实需求，运用现代科技手段，促进我省文化广电旅游创新能力和效能提升。</w:t>
      </w:r>
    </w:p>
    <w:p w14:paraId="2E40208C">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聚焦需求、技术引领。聚焦文化广电旅游行业发展科技需求和应用场景，发挥科技创新的支撑引领作用，部署科技成果转移转化和技术集成应用创新项目。</w:t>
      </w:r>
    </w:p>
    <w:p w14:paraId="0B48824D">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激活主体、整合资源。有效推动政府、企业、高校、科研院所等创新主体间资源整合与有机联动，构建开放高效的协同创新体系，激发创新活力。</w:t>
      </w:r>
    </w:p>
    <w:p w14:paraId="12A4C934">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黑体" w:hAnsi="黑体" w:eastAsia="黑体"/>
          <w:sz w:val="32"/>
          <w:szCs w:val="32"/>
        </w:rPr>
      </w:pPr>
      <w:r>
        <w:rPr>
          <w:rFonts w:hint="eastAsia" w:ascii="黑体" w:hAnsi="黑体" w:eastAsia="黑体"/>
          <w:sz w:val="32"/>
          <w:szCs w:val="32"/>
        </w:rPr>
        <w:t>二、推荐范围</w:t>
      </w:r>
    </w:p>
    <w:p w14:paraId="399BA25F">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baseline"/>
        <w:rPr>
          <w:rFonts w:hint="eastAsia" w:ascii="仿宋_GB2312" w:eastAsia="仿宋_GB2312"/>
          <w:sz w:val="32"/>
          <w:szCs w:val="32"/>
        </w:rPr>
      </w:pPr>
      <w:r>
        <w:rPr>
          <w:rFonts w:hint="eastAsia" w:ascii="仿宋_GB2312" w:hAnsi="微软雅黑" w:eastAsia="仿宋_GB2312" w:cs="仿宋_GB2312"/>
          <w:color w:val="000000"/>
          <w:sz w:val="32"/>
          <w:szCs w:val="32"/>
          <w:shd w:val="clear" w:color="auto" w:fill="FFFFFF"/>
        </w:rPr>
        <w:t>项目应</w:t>
      </w:r>
      <w:r>
        <w:rPr>
          <w:rFonts w:hint="eastAsia" w:ascii="仿宋_GB2312" w:hAnsi="微软雅黑" w:eastAsia="仿宋_GB2312" w:cs="仿宋_GB2312"/>
          <w:color w:val="000000"/>
          <w:sz w:val="32"/>
          <w:szCs w:val="32"/>
          <w:shd w:val="clear" w:color="auto" w:fill="FFFFFF"/>
          <w:lang w:eastAsia="zh-CN"/>
        </w:rPr>
        <w:t>立足文化广电旅游高质量发展需要，满足人民美好生活需求，科技含量高、创新性强、预期应用前景广阔、影响力大、示范引领效果好。重点支持面向文化事业、文化产业、旅游业、</w:t>
      </w:r>
      <w:r>
        <w:rPr>
          <w:rFonts w:hint="eastAsia" w:ascii="仿宋_GB2312" w:hAnsi="微软雅黑" w:eastAsia="仿宋_GB2312" w:cs="仿宋_GB2312"/>
          <w:color w:val="000000"/>
          <w:sz w:val="32"/>
          <w:szCs w:val="32"/>
          <w:shd w:val="clear" w:color="auto" w:fill="FFFFFF"/>
        </w:rPr>
        <w:t>广播电视和网络视听</w:t>
      </w:r>
      <w:r>
        <w:rPr>
          <w:rFonts w:hint="eastAsia" w:ascii="仿宋_GB2312" w:hAnsi="微软雅黑" w:eastAsia="仿宋_GB2312" w:cs="仿宋_GB2312"/>
          <w:color w:val="000000"/>
          <w:sz w:val="32"/>
          <w:szCs w:val="32"/>
          <w:shd w:val="clear" w:color="auto" w:fill="FFFFFF"/>
          <w:lang w:eastAsia="zh-CN"/>
        </w:rPr>
        <w:t>需求的共性关键技术研发，支持通用人工智能、多模态大模型、空间计算、扩展现实、智能体验装备、新型显示、绿色低碳等新技术、新装备、新材料的研发和应用示范，支持面向低空旅游、沉浸式交互、数字内容智能生产等新消费、新业态、新模式的技术集成创新。</w:t>
      </w:r>
    </w:p>
    <w:p w14:paraId="18AF8A8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Fonts w:hint="eastAsia" w:ascii="黑体" w:hAnsi="黑体" w:eastAsia="黑体"/>
          <w:sz w:val="32"/>
          <w:szCs w:val="32"/>
        </w:rPr>
      </w:pPr>
      <w:r>
        <w:rPr>
          <w:rFonts w:hint="eastAsia" w:ascii="黑体" w:hAnsi="黑体" w:eastAsia="黑体"/>
          <w:sz w:val="32"/>
          <w:szCs w:val="32"/>
        </w:rPr>
        <w:t>三、组织管理</w:t>
      </w:r>
    </w:p>
    <w:p w14:paraId="16E2F78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（一）浙江省文化广电和旅游厅负责统筹项目的申报、评审、遴选委托实施和验收等管理工作。</w:t>
      </w:r>
    </w:p>
    <w:p w14:paraId="529A062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二）各市文化广电和旅游局负责受理本行政区域内的项目推荐和实施过程管理。省文物局、厅属各单位、省属高校和科研院所等单位直接向省文化广电和旅游厅申报本单位项目。推荐单位应对所推荐项目的资料进行审校并对项目的真实性等负责，可适当对项目进行配套经费补贴。项目委托实施后，各推荐单位要指导和督促项目承担单位认真履行项目合同，按时保质保量完成项目考核指标，并参与项目验收工作。</w:t>
      </w:r>
    </w:p>
    <w:p w14:paraId="1528158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（三）项目申报单位负责项目的具体组织实施工作，按照签订的协议，落实配套条件，履行各项条款，确保项目按计划执行，按期结项。</w:t>
      </w:r>
    </w:p>
    <w:p w14:paraId="6E138C0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Fonts w:hint="eastAsia" w:ascii="黑体" w:hAnsi="黑体" w:eastAsia="黑体"/>
          <w:sz w:val="32"/>
          <w:szCs w:val="32"/>
        </w:rPr>
      </w:pPr>
      <w:r>
        <w:rPr>
          <w:rFonts w:hint="eastAsia" w:ascii="黑体" w:hAnsi="黑体" w:eastAsia="黑体"/>
          <w:sz w:val="32"/>
          <w:szCs w:val="32"/>
        </w:rPr>
        <w:t>四、申报资格</w:t>
      </w:r>
    </w:p>
    <w:p w14:paraId="706C4F0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（一）申报单位应为浙江省内登记注册的企事业法人单位。注册时间1年以上，科研组织能力较强，运行管理规范。只能通过1个推荐单位申报，不得多头申报和重复申报。</w:t>
      </w:r>
    </w:p>
    <w:p w14:paraId="44EF3D10">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（二）项目负责人应具有中华人民共和国国籍，须有中级以上职称或硕士以上学位，每年用于项目的工作时间不得少于3个月，同一年度只能申报1个项目。项目负责人原则上应为申报单位在职人员。</w:t>
      </w:r>
    </w:p>
    <w:p w14:paraId="19973768">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（三）项目应已完成可行性研究，具有前期工作基础。项目实施期应为1—3年。已完成项目不得申报。</w:t>
      </w:r>
    </w:p>
    <w:p w14:paraId="4885D1DC">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（四）项目原则上须有不少于20万元配套经费，由申报单位负责落实。</w:t>
      </w:r>
    </w:p>
    <w:p w14:paraId="604CD439">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（五）项目申报受理后，原则上不得更改项目申报单位和负责人。</w:t>
      </w:r>
    </w:p>
    <w:p w14:paraId="2F2BDDDD">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黑体" w:hAnsi="黑体" w:eastAsia="黑体"/>
          <w:sz w:val="32"/>
          <w:szCs w:val="32"/>
        </w:rPr>
      </w:pPr>
      <w:r>
        <w:rPr>
          <w:rFonts w:hint="eastAsia" w:ascii="黑体" w:hAnsi="黑体" w:eastAsia="黑体"/>
          <w:sz w:val="32"/>
          <w:szCs w:val="32"/>
        </w:rPr>
        <w:t>五、申报推荐及委托实施</w:t>
      </w:r>
    </w:p>
    <w:p w14:paraId="394D3C81">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（一）省文化广电和旅游厅每年制定并发布关于开展浙江省文化广电旅游领域科技创新项目推荐工作的通知，面向全社会公开征集项目。</w:t>
      </w:r>
    </w:p>
    <w:p w14:paraId="12D27380">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二）申报单位应根据通知，填写《浙江省文化广电旅游科技创新项目申报书》。申报应聚焦问题，整合相关领域优势创新团队，明确项目研究目标、主要研究内容、组织实施思路及工作进度安排，科学设置考核指标。</w:t>
      </w:r>
    </w:p>
    <w:p w14:paraId="5A6FF033">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（三）推荐单位对申报单位提交材料进行审查推荐。</w:t>
      </w:r>
    </w:p>
    <w:p w14:paraId="28F570B1">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（四）省文化广电和旅游厅在受理推荐后，组织评审并择优遴选确定一批拟立项的省文化广电旅游科技创新项目。</w:t>
      </w:r>
    </w:p>
    <w:p w14:paraId="445FD446">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color w:val="FF0000"/>
          <w:sz w:val="32"/>
          <w:szCs w:val="32"/>
        </w:rPr>
      </w:pPr>
      <w:r>
        <w:rPr>
          <w:rFonts w:hint="eastAsia" w:ascii="仿宋_GB2312" w:eastAsia="仿宋_GB2312"/>
          <w:sz w:val="32"/>
          <w:szCs w:val="32"/>
        </w:rPr>
        <w:t>（五）省文化广电和旅游厅对拟立项的科技创新项目进行公示，并依据公示结果发布通知，与承担单位、推荐单位签订项目合同。</w:t>
      </w:r>
    </w:p>
    <w:p w14:paraId="477476D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（六）省文化广电旅游科技创新项目优先推荐申报国家文化广电旅游科技创新研发项目。</w:t>
      </w:r>
    </w:p>
    <w:p w14:paraId="413E4CA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Fonts w:hint="eastAsia" w:ascii="黑体" w:hAnsi="黑体" w:eastAsia="黑体"/>
          <w:sz w:val="32"/>
          <w:szCs w:val="32"/>
        </w:rPr>
      </w:pPr>
      <w:r>
        <w:rPr>
          <w:rFonts w:hint="eastAsia" w:ascii="黑体" w:hAnsi="黑体" w:eastAsia="黑体"/>
          <w:sz w:val="32"/>
          <w:szCs w:val="32"/>
        </w:rPr>
        <w:t>六、项目管理</w:t>
      </w:r>
    </w:p>
    <w:p w14:paraId="285C6AB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（一）浙江省文化广电旅游领域科技创新项目实施原则上不得延期。</w:t>
      </w:r>
    </w:p>
    <w:p w14:paraId="4D5609B5">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baseline"/>
        <w:rPr>
          <w:rFonts w:hint="eastAsia" w:ascii="仿宋_GB2312" w:eastAsia="仿宋_GB2312"/>
          <w:spacing w:val="-6"/>
          <w:sz w:val="32"/>
          <w:szCs w:val="32"/>
        </w:rPr>
      </w:pPr>
      <w:r>
        <w:rPr>
          <w:rFonts w:hint="eastAsia" w:ascii="仿宋_GB2312" w:eastAsia="仿宋_GB2312"/>
          <w:spacing w:val="-6"/>
          <w:sz w:val="32"/>
          <w:szCs w:val="32"/>
        </w:rPr>
        <w:t>（二）项目实施实行重大事项报告制度。项目实施过程中，涉及项目研究目标、主要研究内容、技术骨干等重大事项的变更，项目承担单位须经推荐单位同意后，报省文化</w:t>
      </w:r>
      <w:r>
        <w:rPr>
          <w:rFonts w:hint="eastAsia" w:ascii="仿宋_GB2312" w:eastAsia="仿宋_GB2312"/>
          <w:sz w:val="32"/>
          <w:szCs w:val="32"/>
        </w:rPr>
        <w:t>广电</w:t>
      </w:r>
      <w:r>
        <w:rPr>
          <w:rFonts w:hint="eastAsia" w:ascii="仿宋_GB2312" w:eastAsia="仿宋_GB2312"/>
          <w:spacing w:val="-6"/>
          <w:sz w:val="32"/>
          <w:szCs w:val="32"/>
        </w:rPr>
        <w:t>和旅游厅备案审核。</w:t>
      </w:r>
    </w:p>
    <w:p w14:paraId="5E5225A5">
      <w:pPr>
        <w:keepNext w:val="0"/>
        <w:keepLines w:val="0"/>
        <w:pageBreakBefore w:val="0"/>
        <w:widowControl w:val="0"/>
        <w:kinsoku/>
        <w:wordWrap/>
        <w:overflowPunct/>
        <w:topLinePunct w:val="0"/>
        <w:autoSpaceDE/>
        <w:autoSpaceDN/>
        <w:bidi w:val="0"/>
        <w:adjustRightInd/>
        <w:snapToGrid w:val="0"/>
        <w:spacing w:line="560" w:lineRule="exact"/>
        <w:ind w:firstLine="616" w:firstLineChars="200"/>
        <w:textAlignment w:val="baseline"/>
        <w:rPr>
          <w:rFonts w:hint="eastAsia" w:ascii="仿宋_GB2312" w:eastAsia="仿宋_GB2312"/>
          <w:spacing w:val="-6"/>
          <w:sz w:val="32"/>
          <w:szCs w:val="32"/>
        </w:rPr>
      </w:pPr>
      <w:r>
        <w:rPr>
          <w:rFonts w:hint="eastAsia" w:ascii="仿宋_GB2312" w:eastAsia="仿宋_GB2312"/>
          <w:spacing w:val="-6"/>
          <w:sz w:val="32"/>
          <w:szCs w:val="32"/>
        </w:rPr>
        <w:t>（三）对有重大调整须更改或中止合同的项目，由项目承担单位提出书面申请，经推荐单位同意报省文化</w:t>
      </w:r>
      <w:r>
        <w:rPr>
          <w:rFonts w:hint="eastAsia" w:ascii="仿宋_GB2312" w:eastAsia="仿宋_GB2312"/>
          <w:sz w:val="32"/>
          <w:szCs w:val="32"/>
        </w:rPr>
        <w:t>广电</w:t>
      </w:r>
      <w:r>
        <w:rPr>
          <w:rFonts w:hint="eastAsia" w:ascii="仿宋_GB2312" w:eastAsia="仿宋_GB2312"/>
          <w:spacing w:val="-6"/>
          <w:sz w:val="32"/>
          <w:szCs w:val="32"/>
        </w:rPr>
        <w:t>和旅游厅核准后执行。</w:t>
      </w:r>
    </w:p>
    <w:p w14:paraId="114E3C5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（四）对不接受监督检查或未按合同执行的项目，要求项目承担单位限期整改。整改不力的项目，视情节分别采取通报批评、撤销项目等处理方式。</w:t>
      </w:r>
    </w:p>
    <w:p w14:paraId="576DD02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Fonts w:hint="eastAsia" w:ascii="黑体" w:hAnsi="黑体" w:eastAsia="黑体"/>
          <w:sz w:val="32"/>
          <w:szCs w:val="32"/>
        </w:rPr>
      </w:pPr>
      <w:r>
        <w:rPr>
          <w:rFonts w:hint="eastAsia" w:ascii="黑体" w:hAnsi="黑体" w:eastAsia="黑体"/>
          <w:sz w:val="32"/>
          <w:szCs w:val="32"/>
        </w:rPr>
        <w:t>七、项目验收</w:t>
      </w:r>
    </w:p>
    <w:p w14:paraId="42B0798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一）合同约定完成后的3个月内，由项目承担单位向推荐单位提交项目的有关验收材料，经推荐单位审核并签署意见后，报省文化广电和旅游厅组织验收。其中省文物局、厅属各单位、省属高校和科研院所等单位承担的项目直接报省文化广电和旅游厅组织验收。</w:t>
      </w:r>
    </w:p>
    <w:p w14:paraId="5754A0E1">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（二）验收材料应包含验收申请、验收报告及有关成果材料等，验收报告中应明确经费决算情况，财政经费和自筹经费应单独列支。</w:t>
      </w:r>
    </w:p>
    <w:p w14:paraId="4D5FA932">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（三）验收方式可根据情况采用会议审查、实地考核等。验收专家应专业匹配、来自不同单位、副高级专业职称或行政副处级（含）以上，不少于5人。验收执行回避制度。</w:t>
      </w:r>
    </w:p>
    <w:p w14:paraId="33536759">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四）验收结论分为通过验收和不通过验收两种，对首次验收不合格的项目，承担单位可在30日内经推荐单位审核同意后向省文化广电和旅游厅书面提出二次验收申请，并在6个月内做出整改，按程序再次申请验收。若未再提出申请，视同不通过验收。</w:t>
      </w:r>
    </w:p>
    <w:p w14:paraId="4142D6D3">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（五）未通过验收的项目，省文化广电和旅游厅将取消项目所在承担单位三年内申报浙江省文化广电旅游科技创新项目的资格。</w:t>
      </w:r>
    </w:p>
    <w:p w14:paraId="4CC5FD7C">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黑体" w:hAnsi="黑体" w:eastAsia="黑体"/>
          <w:sz w:val="32"/>
          <w:szCs w:val="32"/>
        </w:rPr>
      </w:pPr>
      <w:r>
        <w:rPr>
          <w:rFonts w:hint="eastAsia" w:ascii="黑体" w:hAnsi="黑体" w:eastAsia="黑体"/>
          <w:sz w:val="32"/>
          <w:szCs w:val="32"/>
        </w:rPr>
        <w:t>八、其他</w:t>
      </w:r>
    </w:p>
    <w:p w14:paraId="5ABD4381">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（一）项目形成的知识产权，其归属和管理按照有关知识产权的法律法规和政策规范性文件的规定执行。</w:t>
      </w:r>
    </w:p>
    <w:p w14:paraId="79B280B3">
      <w:pPr>
        <w:keepNext w:val="0"/>
        <w:keepLines w:val="0"/>
        <w:pageBreakBefore w:val="0"/>
        <w:kinsoku/>
        <w:wordWrap/>
        <w:overflowPunct/>
        <w:topLinePunct w:val="0"/>
        <w:autoSpaceDE/>
        <w:autoSpaceDN/>
        <w:bidi w:val="0"/>
        <w:adjustRightInd/>
        <w:snapToGrid w:val="0"/>
        <w:spacing w:line="560" w:lineRule="exact"/>
        <w:ind w:firstLine="640" w:firstLineChars="200"/>
        <w:textAlignment w:val="baseline"/>
        <w:rPr>
          <w:rFonts w:hint="eastAsia" w:ascii="仿宋_GB2312" w:eastAsia="仿宋_GB2312"/>
          <w:sz w:val="32"/>
          <w:szCs w:val="32"/>
        </w:rPr>
      </w:pPr>
      <w:r>
        <w:rPr>
          <w:rFonts w:hint="eastAsia" w:ascii="仿宋_GB2312" w:eastAsia="仿宋_GB2312"/>
          <w:sz w:val="32"/>
          <w:szCs w:val="32"/>
        </w:rPr>
        <w:t>（二）本方案由省文化广电和旅游厅负责解释。</w:t>
      </w:r>
    </w:p>
    <w:p w14:paraId="29038D4B">
      <w:bookmarkStart w:id="0" w:name="_GoBack"/>
      <w:bookmarkEnd w:id="0"/>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D0C7F6B-7BD8-4AFD-8A08-73B2EFE410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96D5BC7-3BBF-4D90-B80A-69FA63021F46}"/>
  </w:font>
  <w:font w:name="微软雅黑">
    <w:panose1 w:val="020B0503020204020204"/>
    <w:charset w:val="86"/>
    <w:family w:val="auto"/>
    <w:pitch w:val="default"/>
    <w:sig w:usb0="80000287" w:usb1="2ACF3C50" w:usb2="00000016" w:usb3="00000000" w:csb0="0004001F" w:csb1="00000000"/>
    <w:embedRegular r:id="rId3" w:fontKey="{BB5AC8BE-9A12-41A6-BA80-439726480837}"/>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script"/>
    <w:pitch w:val="default"/>
    <w:sig w:usb0="00000001" w:usb1="08000000" w:usb2="00000000" w:usb3="00000000" w:csb0="00040000" w:csb1="00000000"/>
    <w:embedRegular r:id="rId4" w:fontKey="{E4863EFF-8A18-4AEE-B577-2C9D675987AC}"/>
  </w:font>
  <w:font w:name="仿宋_GB2312">
    <w:altName w:val="仿宋"/>
    <w:panose1 w:val="02010609030101010101"/>
    <w:charset w:val="86"/>
    <w:family w:val="auto"/>
    <w:pitch w:val="default"/>
    <w:sig w:usb0="00000000" w:usb1="00000000" w:usb2="00000000" w:usb3="00000000" w:csb0="00040000" w:csb1="00000000"/>
    <w:embedRegular r:id="rId5" w:fontKey="{A76EB693-DD7E-469D-BAEB-204781C1E60A}"/>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362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iPriority="99"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9"/>
    <w:pPr>
      <w:keepNext/>
      <w:keepLines/>
      <w:spacing w:line="576"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index 9"/>
    <w:basedOn w:val="1"/>
    <w:next w:val="1"/>
    <w:unhideWhenUsed/>
    <w:qFormat/>
    <w:uiPriority w:val="99"/>
    <w:pPr>
      <w:spacing w:beforeLines="0" w:afterLines="0"/>
      <w:ind w:left="3360"/>
    </w:pPr>
    <w:rPr>
      <w:rFonts w:hint="eastAsia"/>
      <w:sz w:val="21"/>
      <w:szCs w:val="24"/>
    </w:rPr>
  </w:style>
  <w:style w:type="paragraph" w:styleId="4">
    <w:name w:val="Normal (Web)"/>
    <w:basedOn w:val="1"/>
    <w:next w:val="3"/>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陶微</cp:lastModifiedBy>
  <dcterms:modified xsi:type="dcterms:W3CDTF">2026-08-14T01:50:14Z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eyJoZGlkIjoiZDI1OWEzOWJjNjI4OTFhMjQ3NjVlMWQ2NTBhYzRiZDgiLCJ1c2VySWQiOiIxNzM4MjIwMjUyIn0=</vt:lpwstr>
  </property>
  <property fmtid="{D5CDD505-2E9C-101B-9397-08002B2CF9AE}" pid="4" name="ICV">
    <vt:lpwstr>FFF76F762E32414C805B203F5D7C009C_12</vt:lpwstr>
  </property>
</Properties>
</file>