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49BC24">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left"/>
        <w:textAlignment w:val="auto"/>
        <w:outlineLvl w:val="9"/>
        <w:rPr>
          <w:rFonts w:hint="eastAsia" w:ascii="Times New Roman" w:hAnsi="Times New Roman" w:eastAsia="黑体" w:cs="Times New Roman"/>
          <w:sz w:val="32"/>
          <w:szCs w:val="32"/>
          <w:lang w:val="en-US" w:eastAsia="zh-CN"/>
        </w:rPr>
      </w:pPr>
      <w:r>
        <w:rPr>
          <w:rFonts w:hint="default" w:ascii="Times New Roman" w:hAnsi="Times New Roman" w:eastAsia="黑体" w:cs="Times New Roman"/>
          <w:sz w:val="32"/>
          <w:szCs w:val="32"/>
        </w:rPr>
        <w:t>附件</w:t>
      </w:r>
      <w:r>
        <w:rPr>
          <w:rFonts w:hint="eastAsia" w:ascii="Times New Roman" w:hAnsi="Times New Roman" w:eastAsia="黑体" w:cs="Times New Roman"/>
          <w:sz w:val="32"/>
          <w:szCs w:val="32"/>
          <w:lang w:val="en-US" w:eastAsia="zh-CN"/>
        </w:rPr>
        <w:t>1</w:t>
      </w:r>
    </w:p>
    <w:p w14:paraId="661CED63">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i w:val="0"/>
          <w:iCs w:val="0"/>
          <w:caps w:val="0"/>
          <w:color w:val="auto"/>
          <w:spacing w:val="0"/>
          <w:sz w:val="44"/>
          <w:szCs w:val="44"/>
          <w:shd w:val="clear" w:color="auto" w:fill="FFFFFF"/>
          <w:lang w:val="en-US" w:eastAsia="zh-CN"/>
        </w:rPr>
      </w:pPr>
    </w:p>
    <w:p w14:paraId="44D4E4EA">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i w:val="0"/>
          <w:iCs w:val="0"/>
          <w:caps w:val="0"/>
          <w:color w:val="auto"/>
          <w:spacing w:val="0"/>
          <w:sz w:val="44"/>
          <w:szCs w:val="44"/>
          <w:shd w:val="clear" w:color="auto" w:fill="FFFFFF"/>
          <w:lang w:val="en-US" w:eastAsia="zh-CN"/>
        </w:rPr>
      </w:pPr>
      <w:r>
        <w:rPr>
          <w:rFonts w:hint="eastAsia" w:ascii="方正小标宋简体" w:hAnsi="方正小标宋简体" w:eastAsia="方正小标宋简体" w:cs="方正小标宋简体"/>
          <w:i w:val="0"/>
          <w:iCs w:val="0"/>
          <w:caps w:val="0"/>
          <w:color w:val="auto"/>
          <w:spacing w:val="0"/>
          <w:sz w:val="44"/>
          <w:szCs w:val="44"/>
          <w:shd w:val="clear" w:color="auto" w:fill="FFFFFF"/>
          <w:lang w:val="en-US" w:eastAsia="zh-CN"/>
        </w:rPr>
        <w:t>“揭榜挂帅”重大委托课题需求榜单</w:t>
      </w:r>
    </w:p>
    <w:p w14:paraId="022D728B">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i w:val="0"/>
          <w:iCs w:val="0"/>
          <w:caps w:val="0"/>
          <w:color w:val="auto"/>
          <w:spacing w:val="0"/>
          <w:sz w:val="44"/>
          <w:szCs w:val="44"/>
          <w:shd w:val="clear" w:color="auto" w:fill="FFFFFF"/>
          <w:lang w:val="en-US" w:eastAsia="zh-CN"/>
        </w:rPr>
      </w:pPr>
    </w:p>
    <w:tbl>
      <w:tblPr>
        <w:tblStyle w:val="7"/>
        <w:tblW w:w="133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4"/>
        <w:gridCol w:w="2595"/>
        <w:gridCol w:w="8108"/>
        <w:gridCol w:w="1680"/>
      </w:tblGrid>
      <w:tr w14:paraId="3C697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4" w:type="dxa"/>
            <w:noWrap w:val="0"/>
            <w:vAlign w:val="center"/>
          </w:tcPr>
          <w:p w14:paraId="717815EC">
            <w:pPr>
              <w:keepNext w:val="0"/>
              <w:keepLines w:val="0"/>
              <w:pageBreakBefore w:val="0"/>
              <w:widowControl w:val="0"/>
              <w:kinsoku/>
              <w:wordWrap/>
              <w:overflowPunct/>
              <w:topLinePunct w:val="0"/>
              <w:autoSpaceDE/>
              <w:autoSpaceDN/>
              <w:bidi w:val="0"/>
              <w:adjustRightInd/>
              <w:snapToGrid/>
              <w:spacing w:line="320" w:lineRule="exact"/>
              <w:ind w:right="0" w:rightChars="0"/>
              <w:jc w:val="center"/>
              <w:textAlignment w:val="auto"/>
              <w:outlineLvl w:val="9"/>
              <w:rPr>
                <w:rFonts w:hint="default" w:ascii="Times New Roman" w:hAnsi="Times New Roman" w:eastAsia="仿宋_GB2312" w:cs="Times New Roman"/>
                <w:b/>
                <w:bCs/>
                <w:i w:val="0"/>
                <w:iCs w:val="0"/>
                <w:caps w:val="0"/>
                <w:color w:val="auto"/>
                <w:spacing w:val="0"/>
                <w:sz w:val="24"/>
                <w:szCs w:val="24"/>
                <w:shd w:val="clear" w:color="auto" w:fill="FFFFFF"/>
                <w:vertAlign w:val="baseline"/>
                <w:lang w:val="en-US" w:eastAsia="zh-CN"/>
              </w:rPr>
            </w:pPr>
            <w:r>
              <w:rPr>
                <w:rFonts w:hint="default" w:ascii="Times New Roman" w:hAnsi="Times New Roman" w:eastAsia="仿宋_GB2312" w:cs="Times New Roman"/>
                <w:b/>
                <w:bCs/>
                <w:i w:val="0"/>
                <w:iCs w:val="0"/>
                <w:caps w:val="0"/>
                <w:color w:val="auto"/>
                <w:spacing w:val="0"/>
                <w:sz w:val="24"/>
                <w:szCs w:val="24"/>
                <w:shd w:val="clear" w:color="auto" w:fill="FFFFFF"/>
                <w:vertAlign w:val="baseline"/>
                <w:lang w:val="en-US" w:eastAsia="zh-CN"/>
              </w:rPr>
              <w:t>序号</w:t>
            </w:r>
          </w:p>
        </w:tc>
        <w:tc>
          <w:tcPr>
            <w:tcW w:w="2595" w:type="dxa"/>
            <w:noWrap w:val="0"/>
            <w:vAlign w:val="center"/>
          </w:tcPr>
          <w:p w14:paraId="74336007">
            <w:pPr>
              <w:keepNext w:val="0"/>
              <w:keepLines w:val="0"/>
              <w:pageBreakBefore w:val="0"/>
              <w:widowControl w:val="0"/>
              <w:kinsoku/>
              <w:wordWrap/>
              <w:overflowPunct/>
              <w:topLinePunct w:val="0"/>
              <w:autoSpaceDE/>
              <w:autoSpaceDN/>
              <w:bidi w:val="0"/>
              <w:adjustRightInd/>
              <w:snapToGrid/>
              <w:spacing w:line="320" w:lineRule="exact"/>
              <w:ind w:right="0" w:rightChars="0"/>
              <w:jc w:val="center"/>
              <w:textAlignment w:val="auto"/>
              <w:outlineLvl w:val="9"/>
              <w:rPr>
                <w:rFonts w:hint="default" w:ascii="Times New Roman" w:hAnsi="Times New Roman" w:eastAsia="仿宋_GB2312" w:cs="Times New Roman"/>
                <w:b/>
                <w:bCs/>
                <w:i w:val="0"/>
                <w:iCs w:val="0"/>
                <w:caps w:val="0"/>
                <w:color w:val="auto"/>
                <w:spacing w:val="0"/>
                <w:kern w:val="2"/>
                <w:sz w:val="24"/>
                <w:szCs w:val="24"/>
                <w:shd w:val="clear" w:color="auto" w:fill="FFFFFF"/>
                <w:vertAlign w:val="baseline"/>
                <w:lang w:val="en-US" w:eastAsia="zh-CN" w:bidi="ar-SA"/>
              </w:rPr>
            </w:pPr>
            <w:r>
              <w:rPr>
                <w:rFonts w:hint="default" w:ascii="Times New Roman" w:hAnsi="Times New Roman" w:eastAsia="仿宋_GB2312" w:cs="Times New Roman"/>
                <w:b/>
                <w:bCs/>
                <w:i w:val="0"/>
                <w:iCs w:val="0"/>
                <w:caps w:val="0"/>
                <w:color w:val="auto"/>
                <w:spacing w:val="0"/>
                <w:sz w:val="24"/>
                <w:szCs w:val="24"/>
                <w:shd w:val="clear" w:color="auto" w:fill="FFFFFF"/>
                <w:vertAlign w:val="baseline"/>
                <w:lang w:val="en-US" w:eastAsia="zh-CN"/>
              </w:rPr>
              <w:t>课题名称</w:t>
            </w:r>
          </w:p>
        </w:tc>
        <w:tc>
          <w:tcPr>
            <w:tcW w:w="8108" w:type="dxa"/>
            <w:noWrap w:val="0"/>
            <w:vAlign w:val="center"/>
          </w:tcPr>
          <w:p w14:paraId="7E638E90">
            <w:pPr>
              <w:keepNext w:val="0"/>
              <w:keepLines w:val="0"/>
              <w:pageBreakBefore w:val="0"/>
              <w:widowControl w:val="0"/>
              <w:kinsoku/>
              <w:wordWrap/>
              <w:overflowPunct/>
              <w:topLinePunct w:val="0"/>
              <w:autoSpaceDE/>
              <w:autoSpaceDN/>
              <w:bidi w:val="0"/>
              <w:adjustRightInd/>
              <w:snapToGrid/>
              <w:spacing w:line="320" w:lineRule="exact"/>
              <w:ind w:right="0" w:rightChars="0"/>
              <w:jc w:val="center"/>
              <w:textAlignment w:val="auto"/>
              <w:outlineLvl w:val="9"/>
              <w:rPr>
                <w:rFonts w:hint="default" w:ascii="Times New Roman" w:hAnsi="Times New Roman" w:eastAsia="仿宋_GB2312" w:cs="Times New Roman"/>
                <w:b/>
                <w:bCs/>
                <w:i w:val="0"/>
                <w:iCs w:val="0"/>
                <w:caps w:val="0"/>
                <w:color w:val="auto"/>
                <w:spacing w:val="0"/>
                <w:kern w:val="2"/>
                <w:sz w:val="24"/>
                <w:szCs w:val="24"/>
                <w:shd w:val="clear" w:color="auto" w:fill="FFFFFF"/>
                <w:vertAlign w:val="baseline"/>
                <w:lang w:val="en-US" w:eastAsia="zh-CN" w:bidi="ar-SA"/>
              </w:rPr>
            </w:pPr>
            <w:r>
              <w:rPr>
                <w:rFonts w:hint="default" w:ascii="Times New Roman" w:hAnsi="Times New Roman" w:eastAsia="仿宋_GB2312" w:cs="Times New Roman"/>
                <w:b/>
                <w:bCs/>
                <w:i w:val="0"/>
                <w:iCs w:val="0"/>
                <w:caps w:val="0"/>
                <w:color w:val="auto"/>
                <w:spacing w:val="0"/>
                <w:sz w:val="24"/>
                <w:szCs w:val="24"/>
                <w:shd w:val="clear" w:color="auto" w:fill="FFFFFF"/>
                <w:vertAlign w:val="baseline"/>
                <w:lang w:val="en-US" w:eastAsia="zh-CN"/>
              </w:rPr>
              <w:t>需求说明与相关指标描述</w:t>
            </w:r>
          </w:p>
        </w:tc>
        <w:tc>
          <w:tcPr>
            <w:tcW w:w="1680" w:type="dxa"/>
            <w:noWrap w:val="0"/>
            <w:vAlign w:val="center"/>
          </w:tcPr>
          <w:p w14:paraId="6BDCB1C7">
            <w:pPr>
              <w:keepNext w:val="0"/>
              <w:keepLines w:val="0"/>
              <w:pageBreakBefore w:val="0"/>
              <w:widowControl w:val="0"/>
              <w:kinsoku/>
              <w:wordWrap/>
              <w:overflowPunct/>
              <w:topLinePunct w:val="0"/>
              <w:autoSpaceDE/>
              <w:autoSpaceDN/>
              <w:bidi w:val="0"/>
              <w:adjustRightInd/>
              <w:snapToGrid/>
              <w:spacing w:line="320" w:lineRule="exact"/>
              <w:ind w:right="0" w:rightChars="0"/>
              <w:jc w:val="center"/>
              <w:textAlignment w:val="auto"/>
              <w:outlineLvl w:val="9"/>
              <w:rPr>
                <w:rFonts w:hint="default" w:ascii="Times New Roman" w:hAnsi="Times New Roman" w:eastAsia="仿宋_GB2312" w:cs="Times New Roman"/>
                <w:b/>
                <w:bCs/>
                <w:i w:val="0"/>
                <w:iCs w:val="0"/>
                <w:caps w:val="0"/>
                <w:color w:val="auto"/>
                <w:spacing w:val="0"/>
                <w:sz w:val="24"/>
                <w:szCs w:val="24"/>
                <w:shd w:val="clear" w:color="auto" w:fill="FFFFFF"/>
                <w:vertAlign w:val="baseline"/>
                <w:lang w:val="en-US" w:eastAsia="zh-CN"/>
              </w:rPr>
            </w:pPr>
            <w:r>
              <w:rPr>
                <w:rFonts w:hint="default" w:ascii="Times New Roman" w:hAnsi="Times New Roman" w:eastAsia="仿宋_GB2312" w:cs="Times New Roman"/>
                <w:b/>
                <w:bCs/>
                <w:i w:val="0"/>
                <w:iCs w:val="0"/>
                <w:caps w:val="0"/>
                <w:color w:val="auto"/>
                <w:spacing w:val="0"/>
                <w:sz w:val="24"/>
                <w:szCs w:val="24"/>
                <w:shd w:val="clear" w:color="auto" w:fill="FFFFFF"/>
                <w:vertAlign w:val="baseline"/>
                <w:lang w:val="en-US" w:eastAsia="zh-CN"/>
              </w:rPr>
              <w:t>成果</w:t>
            </w:r>
          </w:p>
          <w:p w14:paraId="706B867E">
            <w:pPr>
              <w:keepNext w:val="0"/>
              <w:keepLines w:val="0"/>
              <w:pageBreakBefore w:val="0"/>
              <w:widowControl w:val="0"/>
              <w:kinsoku/>
              <w:wordWrap/>
              <w:overflowPunct/>
              <w:topLinePunct w:val="0"/>
              <w:autoSpaceDE/>
              <w:autoSpaceDN/>
              <w:bidi w:val="0"/>
              <w:adjustRightInd/>
              <w:snapToGrid/>
              <w:spacing w:line="320" w:lineRule="exact"/>
              <w:ind w:right="0" w:rightChars="0"/>
              <w:jc w:val="center"/>
              <w:textAlignment w:val="auto"/>
              <w:outlineLvl w:val="9"/>
              <w:rPr>
                <w:rFonts w:hint="default" w:ascii="Times New Roman" w:hAnsi="Times New Roman" w:eastAsia="仿宋_GB2312" w:cs="Times New Roman"/>
                <w:b/>
                <w:bCs/>
                <w:i w:val="0"/>
                <w:iCs w:val="0"/>
                <w:caps w:val="0"/>
                <w:color w:val="auto"/>
                <w:spacing w:val="0"/>
                <w:kern w:val="2"/>
                <w:sz w:val="24"/>
                <w:szCs w:val="24"/>
                <w:shd w:val="clear" w:color="auto" w:fill="FFFFFF"/>
                <w:vertAlign w:val="baseline"/>
                <w:lang w:val="en-US" w:eastAsia="zh-CN" w:bidi="ar-SA"/>
              </w:rPr>
            </w:pPr>
            <w:r>
              <w:rPr>
                <w:rFonts w:hint="default" w:ascii="Times New Roman" w:hAnsi="Times New Roman" w:eastAsia="仿宋_GB2312" w:cs="Times New Roman"/>
                <w:b/>
                <w:bCs/>
                <w:i w:val="0"/>
                <w:iCs w:val="0"/>
                <w:caps w:val="0"/>
                <w:color w:val="auto"/>
                <w:spacing w:val="0"/>
                <w:sz w:val="24"/>
                <w:szCs w:val="24"/>
                <w:shd w:val="clear" w:color="auto" w:fill="FFFFFF"/>
                <w:vertAlign w:val="baseline"/>
                <w:lang w:val="en-US" w:eastAsia="zh-CN"/>
              </w:rPr>
              <w:t>形式</w:t>
            </w:r>
          </w:p>
        </w:tc>
      </w:tr>
      <w:tr w14:paraId="6E192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4" w:type="dxa"/>
            <w:noWrap w:val="0"/>
            <w:vAlign w:val="center"/>
          </w:tcPr>
          <w:p w14:paraId="4B61519E">
            <w:pPr>
              <w:keepNext w:val="0"/>
              <w:keepLines w:val="0"/>
              <w:pageBreakBefore w:val="0"/>
              <w:widowControl w:val="0"/>
              <w:kinsoku/>
              <w:wordWrap/>
              <w:overflowPunct/>
              <w:topLinePunct w:val="0"/>
              <w:autoSpaceDE/>
              <w:autoSpaceDN/>
              <w:bidi w:val="0"/>
              <w:adjustRightInd/>
              <w:snapToGrid/>
              <w:spacing w:line="320" w:lineRule="exact"/>
              <w:ind w:right="0" w:rightChars="0"/>
              <w:jc w:val="center"/>
              <w:textAlignment w:val="auto"/>
              <w:outlineLvl w:val="9"/>
              <w:rPr>
                <w:rFonts w:hint="default" w:ascii="Times New Roman" w:hAnsi="Times New Roman" w:eastAsia="仿宋_GB2312" w:cs="Times New Roman"/>
                <w:i w:val="0"/>
                <w:iCs w:val="0"/>
                <w:caps w:val="0"/>
                <w:color w:val="auto"/>
                <w:spacing w:val="0"/>
                <w:sz w:val="24"/>
                <w:szCs w:val="24"/>
                <w:shd w:val="clear" w:color="auto" w:fill="FFFFFF"/>
                <w:vertAlign w:val="baseline"/>
                <w:lang w:val="en-US" w:eastAsia="zh-CN"/>
              </w:rPr>
            </w:pPr>
            <w:r>
              <w:rPr>
                <w:rFonts w:hint="default" w:ascii="Times New Roman" w:hAnsi="Times New Roman" w:eastAsia="仿宋_GB2312" w:cs="Times New Roman"/>
                <w:i w:val="0"/>
                <w:iCs w:val="0"/>
                <w:caps w:val="0"/>
                <w:color w:val="auto"/>
                <w:spacing w:val="0"/>
                <w:sz w:val="24"/>
                <w:szCs w:val="24"/>
                <w:shd w:val="clear" w:color="auto" w:fill="FFFFFF"/>
                <w:vertAlign w:val="baseline"/>
                <w:lang w:val="en-US" w:eastAsia="zh-CN"/>
              </w:rPr>
              <w:t>1</w:t>
            </w:r>
          </w:p>
        </w:tc>
        <w:tc>
          <w:tcPr>
            <w:tcW w:w="2595" w:type="dxa"/>
            <w:noWrap w:val="0"/>
            <w:vAlign w:val="center"/>
          </w:tcPr>
          <w:p w14:paraId="323D430D">
            <w:pPr>
              <w:keepNext w:val="0"/>
              <w:keepLines w:val="0"/>
              <w:pageBreakBefore w:val="0"/>
              <w:widowControl w:val="0"/>
              <w:kinsoku/>
              <w:wordWrap/>
              <w:overflowPunct/>
              <w:topLinePunct w:val="0"/>
              <w:autoSpaceDE/>
              <w:autoSpaceDN/>
              <w:bidi w:val="0"/>
              <w:adjustRightInd/>
              <w:snapToGrid/>
              <w:spacing w:line="320" w:lineRule="exact"/>
              <w:ind w:right="0" w:rightChars="0"/>
              <w:jc w:val="center"/>
              <w:textAlignment w:val="auto"/>
              <w:outlineLvl w:val="9"/>
              <w:rPr>
                <w:rFonts w:hint="default" w:ascii="Times New Roman" w:hAnsi="Times New Roman" w:eastAsia="仿宋_GB2312" w:cs="Times New Roman"/>
                <w:i w:val="0"/>
                <w:iCs w:val="0"/>
                <w:caps w:val="0"/>
                <w:color w:val="auto"/>
                <w:spacing w:val="0"/>
                <w:kern w:val="2"/>
                <w:sz w:val="24"/>
                <w:szCs w:val="24"/>
                <w:shd w:val="clear" w:color="auto" w:fill="FFFFFF"/>
                <w:vertAlign w:val="baseline"/>
                <w:lang w:val="en-US" w:eastAsia="zh-CN" w:bidi="ar-SA"/>
              </w:rPr>
            </w:pPr>
            <w:r>
              <w:rPr>
                <w:rFonts w:hint="default" w:ascii="Times New Roman" w:hAnsi="Times New Roman" w:eastAsia="仿宋_GB2312" w:cs="Times New Roman"/>
                <w:i w:val="0"/>
                <w:iCs w:val="0"/>
                <w:caps w:val="0"/>
                <w:color w:val="auto"/>
                <w:spacing w:val="0"/>
                <w:sz w:val="24"/>
                <w:szCs w:val="24"/>
                <w:shd w:val="clear" w:color="auto" w:fill="FFFFFF"/>
                <w:vertAlign w:val="baseline"/>
                <w:lang w:val="en-US" w:eastAsia="zh-CN"/>
              </w:rPr>
              <w:t>跨境电商零售消费者维权长效体系研究</w:t>
            </w:r>
          </w:p>
        </w:tc>
        <w:tc>
          <w:tcPr>
            <w:tcW w:w="8108" w:type="dxa"/>
            <w:noWrap w:val="0"/>
            <w:vAlign w:val="center"/>
          </w:tcPr>
          <w:p w14:paraId="23646364">
            <w:pPr>
              <w:keepNext w:val="0"/>
              <w:keepLines w:val="0"/>
              <w:pageBreakBefore w:val="0"/>
              <w:widowControl w:val="0"/>
              <w:kinsoku/>
              <w:wordWrap/>
              <w:overflowPunct/>
              <w:topLinePunct w:val="0"/>
              <w:autoSpaceDE/>
              <w:autoSpaceDN/>
              <w:bidi w:val="0"/>
              <w:adjustRightInd/>
              <w:snapToGrid/>
              <w:spacing w:line="320" w:lineRule="exact"/>
              <w:ind w:right="0" w:rightChars="0"/>
              <w:jc w:val="center"/>
              <w:textAlignment w:val="auto"/>
              <w:outlineLvl w:val="9"/>
              <w:rPr>
                <w:rFonts w:hint="default" w:ascii="Times New Roman" w:hAnsi="Times New Roman" w:eastAsia="仿宋_GB2312" w:cs="Times New Roman"/>
                <w:i w:val="0"/>
                <w:iCs w:val="0"/>
                <w:caps w:val="0"/>
                <w:color w:val="auto"/>
                <w:spacing w:val="0"/>
                <w:kern w:val="2"/>
                <w:sz w:val="24"/>
                <w:szCs w:val="24"/>
                <w:shd w:val="clear" w:color="auto" w:fill="FFFFFF"/>
                <w:vertAlign w:val="baseline"/>
                <w:lang w:val="en-US" w:eastAsia="zh-CN" w:bidi="ar-SA"/>
              </w:rPr>
            </w:pPr>
            <w:r>
              <w:rPr>
                <w:rFonts w:hint="default" w:ascii="Times New Roman" w:hAnsi="Times New Roman" w:eastAsia="仿宋_GB2312" w:cs="Times New Roman"/>
                <w:i w:val="0"/>
                <w:iCs w:val="0"/>
                <w:caps w:val="0"/>
                <w:color w:val="auto"/>
                <w:spacing w:val="0"/>
                <w:kern w:val="2"/>
                <w:sz w:val="24"/>
                <w:szCs w:val="24"/>
                <w:shd w:val="clear" w:color="auto" w:fill="FFFFFF"/>
                <w:vertAlign w:val="baseline"/>
                <w:lang w:val="en-US" w:eastAsia="zh-CN" w:bidi="ar-SA"/>
              </w:rPr>
              <w:t>以1210网购保税进口模式为切入点，对标CPTPP消费者权益保护规则，构建线上线下协同联动、多部门协同共治、全流程闭环衔接的跨境电商零售消费者维权体系。</w:t>
            </w:r>
          </w:p>
        </w:tc>
        <w:tc>
          <w:tcPr>
            <w:tcW w:w="1680" w:type="dxa"/>
            <w:noWrap w:val="0"/>
            <w:vAlign w:val="center"/>
          </w:tcPr>
          <w:p w14:paraId="124E6A0F">
            <w:pPr>
              <w:keepNext w:val="0"/>
              <w:keepLines w:val="0"/>
              <w:pageBreakBefore w:val="0"/>
              <w:widowControl w:val="0"/>
              <w:kinsoku/>
              <w:wordWrap/>
              <w:overflowPunct/>
              <w:topLinePunct w:val="0"/>
              <w:autoSpaceDE/>
              <w:autoSpaceDN/>
              <w:bidi w:val="0"/>
              <w:adjustRightInd/>
              <w:snapToGrid/>
              <w:spacing w:line="320" w:lineRule="exact"/>
              <w:ind w:right="0" w:rightChars="0"/>
              <w:jc w:val="center"/>
              <w:textAlignment w:val="auto"/>
              <w:outlineLvl w:val="9"/>
              <w:rPr>
                <w:rFonts w:hint="default" w:ascii="Times New Roman" w:hAnsi="Times New Roman" w:eastAsia="仿宋_GB2312" w:cs="Times New Roman"/>
                <w:i w:val="0"/>
                <w:iCs w:val="0"/>
                <w:caps w:val="0"/>
                <w:color w:val="auto"/>
                <w:spacing w:val="0"/>
                <w:kern w:val="2"/>
                <w:sz w:val="24"/>
                <w:szCs w:val="24"/>
                <w:shd w:val="clear" w:color="auto" w:fill="FFFFFF"/>
                <w:vertAlign w:val="baseline"/>
                <w:lang w:val="en-US" w:eastAsia="zh-CN" w:bidi="ar-SA"/>
              </w:rPr>
            </w:pPr>
            <w:r>
              <w:rPr>
                <w:rFonts w:hint="default" w:ascii="Times New Roman" w:hAnsi="Times New Roman" w:eastAsia="仿宋_GB2312" w:cs="Times New Roman"/>
                <w:i w:val="0"/>
                <w:iCs w:val="0"/>
                <w:caps w:val="0"/>
                <w:color w:val="auto"/>
                <w:spacing w:val="0"/>
                <w:sz w:val="24"/>
                <w:szCs w:val="24"/>
                <w:shd w:val="clear" w:color="auto" w:fill="FFFFFF"/>
                <w:vertAlign w:val="baseline"/>
                <w:lang w:val="en-US" w:eastAsia="zh-CN"/>
              </w:rPr>
              <w:t>研究报告（咨政报告）</w:t>
            </w:r>
          </w:p>
        </w:tc>
      </w:tr>
      <w:tr w14:paraId="35FF0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4" w:type="dxa"/>
            <w:noWrap w:val="0"/>
            <w:vAlign w:val="center"/>
          </w:tcPr>
          <w:p w14:paraId="293E4B03">
            <w:pPr>
              <w:keepNext w:val="0"/>
              <w:keepLines w:val="0"/>
              <w:pageBreakBefore w:val="0"/>
              <w:widowControl w:val="0"/>
              <w:kinsoku/>
              <w:wordWrap/>
              <w:overflowPunct/>
              <w:topLinePunct w:val="0"/>
              <w:autoSpaceDE/>
              <w:autoSpaceDN/>
              <w:bidi w:val="0"/>
              <w:adjustRightInd/>
              <w:snapToGrid/>
              <w:spacing w:line="320" w:lineRule="exact"/>
              <w:ind w:right="0" w:rightChars="0"/>
              <w:jc w:val="center"/>
              <w:textAlignment w:val="auto"/>
              <w:outlineLvl w:val="9"/>
              <w:rPr>
                <w:rFonts w:hint="default" w:ascii="Times New Roman" w:hAnsi="Times New Roman" w:eastAsia="仿宋_GB2312" w:cs="Times New Roman"/>
                <w:i w:val="0"/>
                <w:iCs w:val="0"/>
                <w:caps w:val="0"/>
                <w:color w:val="auto"/>
                <w:spacing w:val="0"/>
                <w:sz w:val="24"/>
                <w:szCs w:val="24"/>
                <w:shd w:val="clear" w:color="auto" w:fill="FFFFFF"/>
                <w:vertAlign w:val="baseline"/>
                <w:lang w:val="en-US" w:eastAsia="zh-CN"/>
              </w:rPr>
            </w:pPr>
            <w:r>
              <w:rPr>
                <w:rFonts w:hint="default" w:ascii="Times New Roman" w:hAnsi="Times New Roman" w:eastAsia="仿宋_GB2312" w:cs="Times New Roman"/>
                <w:i w:val="0"/>
                <w:iCs w:val="0"/>
                <w:caps w:val="0"/>
                <w:color w:val="auto"/>
                <w:spacing w:val="0"/>
                <w:sz w:val="24"/>
                <w:szCs w:val="24"/>
                <w:shd w:val="clear" w:color="auto" w:fill="FFFFFF"/>
                <w:vertAlign w:val="baseline"/>
                <w:lang w:val="en-US" w:eastAsia="zh-CN"/>
              </w:rPr>
              <w:t>2</w:t>
            </w:r>
          </w:p>
        </w:tc>
        <w:tc>
          <w:tcPr>
            <w:tcW w:w="2595" w:type="dxa"/>
            <w:noWrap w:val="0"/>
            <w:vAlign w:val="center"/>
          </w:tcPr>
          <w:p w14:paraId="41382E14">
            <w:pPr>
              <w:keepNext w:val="0"/>
              <w:keepLines w:val="0"/>
              <w:pageBreakBefore w:val="0"/>
              <w:widowControl w:val="0"/>
              <w:kinsoku/>
              <w:wordWrap/>
              <w:overflowPunct/>
              <w:topLinePunct w:val="0"/>
              <w:autoSpaceDE/>
              <w:autoSpaceDN/>
              <w:bidi w:val="0"/>
              <w:adjustRightInd/>
              <w:snapToGrid/>
              <w:spacing w:line="320" w:lineRule="exact"/>
              <w:ind w:right="0" w:rightChars="0"/>
              <w:jc w:val="center"/>
              <w:textAlignment w:val="auto"/>
              <w:outlineLvl w:val="9"/>
              <w:rPr>
                <w:rFonts w:hint="default" w:ascii="Times New Roman" w:hAnsi="Times New Roman" w:eastAsia="仿宋_GB2312" w:cs="Times New Roman"/>
                <w:i w:val="0"/>
                <w:iCs w:val="0"/>
                <w:caps w:val="0"/>
                <w:color w:val="auto"/>
                <w:spacing w:val="0"/>
                <w:kern w:val="2"/>
                <w:sz w:val="24"/>
                <w:szCs w:val="24"/>
                <w:shd w:val="clear" w:color="auto" w:fill="FFFFFF"/>
                <w:vertAlign w:val="baseline"/>
                <w:lang w:val="en-US" w:eastAsia="zh-CN" w:bidi="ar-SA"/>
              </w:rPr>
            </w:pPr>
            <w:r>
              <w:rPr>
                <w:rFonts w:hint="default" w:ascii="Times New Roman" w:hAnsi="Times New Roman" w:eastAsia="仿宋_GB2312" w:cs="Times New Roman"/>
                <w:i w:val="0"/>
                <w:iCs w:val="0"/>
                <w:caps w:val="0"/>
                <w:color w:val="auto"/>
                <w:spacing w:val="0"/>
                <w:sz w:val="24"/>
                <w:szCs w:val="24"/>
                <w:shd w:val="clear" w:color="auto" w:fill="FFFFFF"/>
                <w:vertAlign w:val="baseline"/>
                <w:lang w:val="en-US" w:eastAsia="zh-CN"/>
              </w:rPr>
              <w:t>“苗木出海”发展路径与策略研究</w:t>
            </w:r>
          </w:p>
        </w:tc>
        <w:tc>
          <w:tcPr>
            <w:tcW w:w="8108" w:type="dxa"/>
            <w:noWrap w:val="0"/>
            <w:vAlign w:val="center"/>
          </w:tcPr>
          <w:p w14:paraId="54EAD73D">
            <w:pPr>
              <w:keepNext w:val="0"/>
              <w:keepLines w:val="0"/>
              <w:pageBreakBefore w:val="0"/>
              <w:widowControl w:val="0"/>
              <w:kinsoku/>
              <w:wordWrap/>
              <w:overflowPunct/>
              <w:topLinePunct w:val="0"/>
              <w:autoSpaceDE/>
              <w:autoSpaceDN/>
              <w:bidi w:val="0"/>
              <w:adjustRightInd/>
              <w:snapToGrid/>
              <w:spacing w:line="320" w:lineRule="exact"/>
              <w:ind w:right="0" w:rightChars="0"/>
              <w:jc w:val="center"/>
              <w:textAlignment w:val="auto"/>
              <w:outlineLvl w:val="9"/>
              <w:rPr>
                <w:rFonts w:hint="default" w:ascii="Times New Roman" w:hAnsi="Times New Roman" w:eastAsia="仿宋_GB2312" w:cs="Times New Roman"/>
                <w:i w:val="0"/>
                <w:iCs w:val="0"/>
                <w:caps w:val="0"/>
                <w:color w:val="auto"/>
                <w:spacing w:val="0"/>
                <w:kern w:val="2"/>
                <w:sz w:val="24"/>
                <w:szCs w:val="24"/>
                <w:shd w:val="clear" w:color="auto" w:fill="FFFFFF"/>
                <w:vertAlign w:val="baseline"/>
                <w:lang w:val="en-US" w:eastAsia="zh-CN" w:bidi="ar-SA"/>
              </w:rPr>
            </w:pPr>
            <w:r>
              <w:rPr>
                <w:rFonts w:hint="default" w:ascii="Times New Roman" w:hAnsi="Times New Roman" w:eastAsia="仿宋_GB2312" w:cs="Times New Roman"/>
                <w:i w:val="0"/>
                <w:iCs w:val="0"/>
                <w:caps w:val="0"/>
                <w:color w:val="auto"/>
                <w:spacing w:val="0"/>
                <w:kern w:val="2"/>
                <w:sz w:val="24"/>
                <w:szCs w:val="24"/>
                <w:shd w:val="clear" w:color="auto" w:fill="FFFFFF"/>
                <w:vertAlign w:val="baseline"/>
                <w:lang w:val="en-US" w:eastAsia="zh-CN" w:bidi="ar-SA"/>
              </w:rPr>
              <w:t>基于金华苗木产业基础优势和省内出口集群优势，深化林苗一体化改革试点，依托澧浦、曹宅等基地，收集一带一路等出口目的地国家进口花卉苗木准入标准及需求趋势，构建相关信息平台，制定出口苗圃基础建设、种植标准，推动花卉苗木产业本系规模化发展，培育一批龙头企业。</w:t>
            </w:r>
          </w:p>
        </w:tc>
        <w:tc>
          <w:tcPr>
            <w:tcW w:w="1680" w:type="dxa"/>
            <w:noWrap w:val="0"/>
            <w:vAlign w:val="center"/>
          </w:tcPr>
          <w:p w14:paraId="290BD582">
            <w:pPr>
              <w:keepNext w:val="0"/>
              <w:keepLines w:val="0"/>
              <w:pageBreakBefore w:val="0"/>
              <w:widowControl w:val="0"/>
              <w:kinsoku/>
              <w:wordWrap/>
              <w:overflowPunct/>
              <w:topLinePunct w:val="0"/>
              <w:autoSpaceDE/>
              <w:autoSpaceDN/>
              <w:bidi w:val="0"/>
              <w:adjustRightInd/>
              <w:snapToGrid/>
              <w:spacing w:line="320" w:lineRule="exact"/>
              <w:ind w:right="0" w:rightChars="0"/>
              <w:jc w:val="center"/>
              <w:textAlignment w:val="auto"/>
              <w:outlineLvl w:val="9"/>
              <w:rPr>
                <w:rFonts w:hint="default" w:ascii="Times New Roman" w:hAnsi="Times New Roman" w:eastAsia="仿宋_GB2312" w:cs="Times New Roman"/>
                <w:i w:val="0"/>
                <w:iCs w:val="0"/>
                <w:caps w:val="0"/>
                <w:color w:val="auto"/>
                <w:spacing w:val="0"/>
                <w:sz w:val="24"/>
                <w:szCs w:val="24"/>
                <w:shd w:val="clear" w:color="auto" w:fill="FFFFFF"/>
                <w:vertAlign w:val="baseline"/>
                <w:lang w:val="en-US" w:eastAsia="zh-CN"/>
              </w:rPr>
            </w:pPr>
            <w:r>
              <w:rPr>
                <w:rFonts w:hint="default" w:ascii="Times New Roman" w:hAnsi="Times New Roman" w:eastAsia="仿宋_GB2312" w:cs="Times New Roman"/>
                <w:i w:val="0"/>
                <w:iCs w:val="0"/>
                <w:caps w:val="0"/>
                <w:color w:val="auto"/>
                <w:spacing w:val="0"/>
                <w:sz w:val="24"/>
                <w:szCs w:val="24"/>
                <w:shd w:val="clear" w:color="auto" w:fill="FFFFFF"/>
                <w:vertAlign w:val="baseline"/>
                <w:lang w:val="en-US" w:eastAsia="zh-CN"/>
              </w:rPr>
              <w:t>研究报告（咨政报告）</w:t>
            </w:r>
          </w:p>
        </w:tc>
      </w:tr>
      <w:tr w14:paraId="5AD8F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4" w:type="dxa"/>
            <w:noWrap w:val="0"/>
            <w:vAlign w:val="center"/>
          </w:tcPr>
          <w:p w14:paraId="66F8B79E">
            <w:pPr>
              <w:keepNext w:val="0"/>
              <w:keepLines w:val="0"/>
              <w:pageBreakBefore w:val="0"/>
              <w:widowControl w:val="0"/>
              <w:kinsoku/>
              <w:wordWrap/>
              <w:overflowPunct/>
              <w:topLinePunct w:val="0"/>
              <w:autoSpaceDE/>
              <w:autoSpaceDN/>
              <w:bidi w:val="0"/>
              <w:adjustRightInd/>
              <w:snapToGrid/>
              <w:spacing w:line="320" w:lineRule="exact"/>
              <w:ind w:right="0" w:rightChars="0"/>
              <w:jc w:val="center"/>
              <w:textAlignment w:val="auto"/>
              <w:outlineLvl w:val="9"/>
              <w:rPr>
                <w:rFonts w:hint="default" w:ascii="Times New Roman" w:hAnsi="Times New Roman" w:eastAsia="仿宋_GB2312" w:cs="Times New Roman"/>
                <w:i w:val="0"/>
                <w:iCs w:val="0"/>
                <w:caps w:val="0"/>
                <w:color w:val="auto"/>
                <w:spacing w:val="0"/>
                <w:sz w:val="24"/>
                <w:szCs w:val="24"/>
                <w:shd w:val="clear" w:color="auto" w:fill="FFFFFF"/>
                <w:vertAlign w:val="baseline"/>
                <w:lang w:val="en-US" w:eastAsia="zh-CN"/>
              </w:rPr>
            </w:pPr>
            <w:r>
              <w:rPr>
                <w:rFonts w:hint="default" w:ascii="Times New Roman" w:hAnsi="Times New Roman" w:eastAsia="仿宋_GB2312" w:cs="Times New Roman"/>
                <w:i w:val="0"/>
                <w:iCs w:val="0"/>
                <w:caps w:val="0"/>
                <w:color w:val="auto"/>
                <w:spacing w:val="0"/>
                <w:sz w:val="24"/>
                <w:szCs w:val="24"/>
                <w:shd w:val="clear" w:color="auto" w:fill="FFFFFF"/>
                <w:vertAlign w:val="baseline"/>
                <w:lang w:val="en-US" w:eastAsia="zh-CN"/>
              </w:rPr>
              <w:t>3</w:t>
            </w:r>
          </w:p>
        </w:tc>
        <w:tc>
          <w:tcPr>
            <w:tcW w:w="2595" w:type="dxa"/>
            <w:noWrap w:val="0"/>
            <w:vAlign w:val="center"/>
          </w:tcPr>
          <w:p w14:paraId="425DF2A8">
            <w:pPr>
              <w:keepNext w:val="0"/>
              <w:keepLines w:val="0"/>
              <w:pageBreakBefore w:val="0"/>
              <w:widowControl w:val="0"/>
              <w:kinsoku/>
              <w:wordWrap/>
              <w:overflowPunct/>
              <w:topLinePunct w:val="0"/>
              <w:autoSpaceDE/>
              <w:autoSpaceDN/>
              <w:bidi w:val="0"/>
              <w:adjustRightInd/>
              <w:snapToGrid/>
              <w:spacing w:line="320" w:lineRule="exact"/>
              <w:ind w:right="0" w:rightChars="0"/>
              <w:jc w:val="center"/>
              <w:textAlignment w:val="auto"/>
              <w:outlineLvl w:val="9"/>
              <w:rPr>
                <w:rFonts w:hint="default" w:ascii="Times New Roman" w:hAnsi="Times New Roman" w:eastAsia="仿宋_GB2312" w:cs="Times New Roman"/>
                <w:i w:val="0"/>
                <w:iCs w:val="0"/>
                <w:caps w:val="0"/>
                <w:color w:val="auto"/>
                <w:spacing w:val="0"/>
                <w:kern w:val="2"/>
                <w:sz w:val="24"/>
                <w:szCs w:val="24"/>
                <w:shd w:val="clear" w:color="auto" w:fill="FFFFFF"/>
                <w:vertAlign w:val="baseline"/>
                <w:lang w:val="en-US" w:eastAsia="zh-CN" w:bidi="ar-SA"/>
              </w:rPr>
            </w:pPr>
            <w:r>
              <w:rPr>
                <w:rFonts w:hint="default" w:ascii="Times New Roman" w:hAnsi="Times New Roman" w:eastAsia="仿宋_GB2312" w:cs="Times New Roman"/>
                <w:i w:val="0"/>
                <w:iCs w:val="0"/>
                <w:caps w:val="0"/>
                <w:color w:val="auto"/>
                <w:spacing w:val="0"/>
                <w:sz w:val="24"/>
                <w:szCs w:val="24"/>
                <w:shd w:val="clear" w:color="auto" w:fill="FFFFFF"/>
                <w:vertAlign w:val="baseline"/>
                <w:lang w:val="en-US" w:eastAsia="zh-CN"/>
              </w:rPr>
              <w:t>构建高效“一站式”国际商事纠纷解决体系研究</w:t>
            </w:r>
          </w:p>
        </w:tc>
        <w:tc>
          <w:tcPr>
            <w:tcW w:w="8108" w:type="dxa"/>
            <w:noWrap w:val="0"/>
            <w:vAlign w:val="center"/>
          </w:tcPr>
          <w:p w14:paraId="67400886">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i w:val="0"/>
                <w:iCs w:val="0"/>
                <w:caps w:val="0"/>
                <w:color w:val="auto"/>
                <w:spacing w:val="0"/>
                <w:sz w:val="24"/>
                <w:szCs w:val="24"/>
                <w:shd w:val="clear" w:color="auto" w:fill="FFFFFF"/>
                <w:vertAlign w:val="baseline"/>
                <w:lang w:val="en-US" w:eastAsia="zh-CN"/>
              </w:rPr>
              <w:t>以国际商事法庭为 核心，整合调解、仲裁、诉讼有机衔接的多元化纠纷解决机制。</w:t>
            </w:r>
            <w:r>
              <w:rPr>
                <w:rFonts w:hint="default" w:ascii="Times New Roman" w:hAnsi="Times New Roman" w:eastAsia="仿宋_GB2312" w:cs="Times New Roman"/>
                <w:b/>
                <w:bCs/>
                <w:color w:val="auto"/>
                <w:kern w:val="2"/>
                <w:sz w:val="24"/>
                <w:szCs w:val="24"/>
                <w:lang w:val="en-US" w:eastAsia="zh-CN" w:bidi="ar-SA"/>
              </w:rPr>
              <w:t>1.涉外调解人才队伍建设与国际化能力研究。</w:t>
            </w:r>
          </w:p>
          <w:p w14:paraId="58CA32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b/>
                <w:bCs/>
                <w:color w:val="auto"/>
                <w:kern w:val="2"/>
                <w:sz w:val="24"/>
                <w:szCs w:val="24"/>
                <w:lang w:val="en-US" w:eastAsia="zh-CN" w:bidi="ar-SA"/>
              </w:rPr>
              <w:t>需求背景</w:t>
            </w:r>
            <w:r>
              <w:rPr>
                <w:rFonts w:hint="default" w:ascii="Times New Roman" w:hAnsi="Times New Roman" w:eastAsia="仿宋_GB2312" w:cs="Times New Roman"/>
                <w:color w:val="auto"/>
                <w:kern w:val="2"/>
                <w:sz w:val="24"/>
                <w:szCs w:val="24"/>
                <w:lang w:val="en-US" w:eastAsia="zh-CN" w:bidi="ar-SA"/>
              </w:rPr>
              <w:t>：金华市虽已建立外籍调解员队伍（如义乌市20名外籍调解员），但复合型涉外调解人才仍显不足，需要研究人才培养、引进和认证机制。</w:t>
            </w:r>
          </w:p>
          <w:p w14:paraId="356071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b/>
                <w:bCs/>
                <w:color w:val="auto"/>
                <w:kern w:val="2"/>
                <w:sz w:val="24"/>
                <w:szCs w:val="24"/>
                <w:lang w:val="en-US" w:eastAsia="zh-CN" w:bidi="ar-SA"/>
              </w:rPr>
              <w:t>研究重点</w:t>
            </w:r>
            <w:r>
              <w:rPr>
                <w:rFonts w:hint="default" w:ascii="Times New Roman" w:hAnsi="Times New Roman" w:eastAsia="仿宋_GB2312" w:cs="Times New Roman"/>
                <w:color w:val="auto"/>
                <w:kern w:val="2"/>
                <w:sz w:val="24"/>
                <w:szCs w:val="24"/>
                <w:lang w:val="en-US" w:eastAsia="zh-CN" w:bidi="ar-SA"/>
              </w:rPr>
              <w:t>：“法律+外语+行业”复合型调解员培养模式；外籍调解员引进与管理机制；调解员分级考核与国际互认路径。</w:t>
            </w:r>
          </w:p>
          <w:p w14:paraId="5EA0D8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b/>
                <w:bCs/>
                <w:color w:val="auto"/>
                <w:kern w:val="2"/>
                <w:sz w:val="24"/>
                <w:szCs w:val="24"/>
                <w:lang w:val="en-US" w:eastAsia="zh-CN" w:bidi="ar-SA"/>
              </w:rPr>
              <w:t>相关指标</w:t>
            </w:r>
            <w:r>
              <w:rPr>
                <w:rFonts w:hint="default" w:ascii="Times New Roman" w:hAnsi="Times New Roman" w:eastAsia="仿宋_GB2312" w:cs="Times New Roman"/>
                <w:color w:val="auto"/>
                <w:kern w:val="2"/>
                <w:sz w:val="24"/>
                <w:szCs w:val="24"/>
                <w:lang w:val="en-US" w:eastAsia="zh-CN" w:bidi="ar-SA"/>
              </w:rPr>
              <w:t>：数量结构方面如涉外调解员总数、外籍调解员占比、复合型人才（法律+外语+行业）占比；能力水平方面如调解员年均培训时长、涉外调解案件处理能力认证率、国际调解规则熟悉度考核合格率等。</w:t>
            </w:r>
          </w:p>
          <w:p w14:paraId="2CF81780">
            <w:pPr>
              <w:pStyle w:val="4"/>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b/>
                <w:bCs/>
                <w:color w:val="auto"/>
                <w:kern w:val="2"/>
                <w:sz w:val="24"/>
                <w:szCs w:val="24"/>
                <w:lang w:val="en-US" w:eastAsia="zh-CN" w:bidi="ar-SA"/>
              </w:rPr>
              <w:t>2.涉外商事调解机制衔接与效力互认情况</w:t>
            </w:r>
            <w:r>
              <w:rPr>
                <w:rFonts w:hint="default" w:ascii="Times New Roman" w:hAnsi="Times New Roman" w:eastAsia="仿宋_GB2312" w:cs="Times New Roman"/>
                <w:color w:val="auto"/>
                <w:kern w:val="2"/>
                <w:sz w:val="24"/>
                <w:szCs w:val="24"/>
                <w:lang w:val="en-US" w:eastAsia="zh-CN" w:bidi="ar-SA"/>
              </w:rPr>
              <w:t>。跨境合作方面如与国际调解组织合作协议数、参与国际调解规则制定项目数；调解案源涉及国家和地区数、“一带一路”沿线国家案件占比。在国际认可方面，如调解协议跨境执行成功率、国际商事调解案例被引用次数等。</w:t>
            </w:r>
          </w:p>
          <w:p w14:paraId="2462AF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b/>
                <w:bCs/>
                <w:color w:val="auto"/>
                <w:kern w:val="2"/>
                <w:sz w:val="24"/>
                <w:szCs w:val="24"/>
                <w:lang w:val="en-US" w:eastAsia="zh-CN" w:bidi="ar-SA"/>
              </w:rPr>
              <w:t>3.涉外商事调解服务标准化与质量评估体系研究。</w:t>
            </w:r>
          </w:p>
          <w:p w14:paraId="128D4B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b/>
                <w:bCs/>
                <w:color w:val="auto"/>
                <w:kern w:val="2"/>
                <w:sz w:val="24"/>
                <w:szCs w:val="24"/>
                <w:lang w:val="en-US" w:eastAsia="zh-CN" w:bidi="ar-SA"/>
              </w:rPr>
              <w:t>需求背景</w:t>
            </w:r>
            <w:r>
              <w:rPr>
                <w:rFonts w:hint="default" w:ascii="Times New Roman" w:hAnsi="Times New Roman" w:eastAsia="仿宋_GB2312" w:cs="Times New Roman"/>
                <w:color w:val="auto"/>
                <w:kern w:val="2"/>
                <w:sz w:val="24"/>
                <w:szCs w:val="24"/>
                <w:lang w:val="en-US" w:eastAsia="zh-CN" w:bidi="ar-SA"/>
              </w:rPr>
              <w:t>：目前金华市暂未建立涉外商事调解服务标准化与质量评估体系，需要研究建立体系框架，为下步依照《商事调解条例》推进涉外商事调解工作做准备。</w:t>
            </w:r>
          </w:p>
          <w:p w14:paraId="37A55C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b/>
                <w:bCs/>
                <w:color w:val="auto"/>
                <w:kern w:val="2"/>
                <w:sz w:val="24"/>
                <w:szCs w:val="24"/>
                <w:lang w:val="en-US" w:eastAsia="zh-CN" w:bidi="ar-SA"/>
              </w:rPr>
              <w:t>研究重点</w:t>
            </w:r>
            <w:r>
              <w:rPr>
                <w:rFonts w:hint="default" w:ascii="Times New Roman" w:hAnsi="Times New Roman" w:eastAsia="仿宋_GB2312" w:cs="Times New Roman"/>
                <w:color w:val="auto"/>
                <w:kern w:val="2"/>
                <w:sz w:val="24"/>
                <w:szCs w:val="24"/>
                <w:lang w:val="en-US" w:eastAsia="zh-CN" w:bidi="ar-SA"/>
              </w:rPr>
              <w:t>：涉外商事调解服务标准制定；调解案件质量评估指标体系；调解员执业信用管理制度；涉外商事调解服务收费机制；涉外商事调解组织独立运营能力建设</w:t>
            </w:r>
          </w:p>
          <w:p w14:paraId="6D95FA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b/>
                <w:bCs/>
                <w:color w:val="auto"/>
                <w:kern w:val="2"/>
                <w:sz w:val="24"/>
                <w:szCs w:val="24"/>
                <w:lang w:val="en-US" w:eastAsia="zh-CN" w:bidi="ar-SA"/>
              </w:rPr>
              <w:t>相关指标</w:t>
            </w:r>
            <w:r>
              <w:rPr>
                <w:rFonts w:hint="default" w:ascii="Times New Roman" w:hAnsi="Times New Roman" w:eastAsia="仿宋_GB2312" w:cs="Times New Roman"/>
                <w:color w:val="auto"/>
                <w:kern w:val="2"/>
                <w:sz w:val="24"/>
                <w:szCs w:val="24"/>
                <w:lang w:val="en-US" w:eastAsia="zh-CN" w:bidi="ar-SA"/>
              </w:rPr>
              <w:t>：领域覆盖方面如涉外商事纠纷类型覆盖率、重点行业（如跨境电商、国际物流等）专业调解团队数；多语种服务情况如提供外语调解服务语种数、多语种调解案件占比等。现有涉外商事调解工作效能，如年均受理涉外商事调解案件数、调解成功率、平均调解周期、涉案金额、当事人满意度、外资企业选择调解比例、调解协议自动履行率等。</w:t>
            </w:r>
          </w:p>
          <w:p w14:paraId="17603384">
            <w:pPr>
              <w:keepNext w:val="0"/>
              <w:keepLines w:val="0"/>
              <w:pageBreakBefore w:val="0"/>
              <w:widowControl w:val="0"/>
              <w:numPr>
                <w:ilvl w:val="0"/>
                <w:numId w:val="1"/>
              </w:numPr>
              <w:kinsoku/>
              <w:wordWrap/>
              <w:overflowPunct/>
              <w:topLinePunct w:val="0"/>
              <w:autoSpaceDE/>
              <w:autoSpaceDN/>
              <w:bidi w:val="0"/>
              <w:adjustRightInd/>
              <w:snapToGrid/>
              <w:spacing w:line="320" w:lineRule="exact"/>
              <w:ind w:right="0" w:rightChars="0"/>
              <w:jc w:val="center"/>
              <w:textAlignment w:val="auto"/>
              <w:outlineLvl w:val="9"/>
              <w:rPr>
                <w:rFonts w:hint="default" w:ascii="Times New Roman" w:hAnsi="Times New Roman" w:eastAsia="仿宋_GB2312" w:cs="Times New Roman"/>
                <w:i w:val="0"/>
                <w:iCs w:val="0"/>
                <w:caps w:val="0"/>
                <w:color w:val="auto"/>
                <w:spacing w:val="0"/>
                <w:sz w:val="24"/>
                <w:szCs w:val="24"/>
                <w:shd w:val="clear" w:color="auto" w:fill="FFFFFF"/>
                <w:vertAlign w:val="baseline"/>
                <w:lang w:eastAsia="zh-CN"/>
              </w:rPr>
            </w:pPr>
            <w:r>
              <w:rPr>
                <w:rFonts w:hint="default" w:ascii="Times New Roman" w:hAnsi="Times New Roman" w:eastAsia="仿宋_GB2312" w:cs="Times New Roman"/>
                <w:b/>
                <w:bCs/>
                <w:i w:val="0"/>
                <w:iCs w:val="0"/>
                <w:caps w:val="0"/>
                <w:color w:val="auto"/>
                <w:spacing w:val="0"/>
                <w:sz w:val="24"/>
                <w:szCs w:val="24"/>
                <w:shd w:val="clear" w:color="auto" w:fill="FFFFFF"/>
                <w:vertAlign w:val="baseline"/>
                <w:lang w:val="en-US" w:eastAsia="zh-CN"/>
              </w:rPr>
              <w:t>金华仲裁委涉外情况。</w:t>
            </w:r>
          </w:p>
          <w:p w14:paraId="229B8A7C">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right="0" w:rightChars="0"/>
              <w:jc w:val="center"/>
              <w:textAlignment w:val="auto"/>
              <w:outlineLvl w:val="9"/>
              <w:rPr>
                <w:rFonts w:hint="default" w:ascii="Times New Roman" w:hAnsi="Times New Roman" w:eastAsia="仿宋_GB2312" w:cs="Times New Roman"/>
                <w:i w:val="0"/>
                <w:iCs w:val="0"/>
                <w:caps w:val="0"/>
                <w:color w:val="auto"/>
                <w:spacing w:val="0"/>
                <w:sz w:val="24"/>
                <w:szCs w:val="24"/>
                <w:shd w:val="clear" w:color="auto" w:fill="FFFFFF"/>
                <w:vertAlign w:val="baseline"/>
                <w:lang w:eastAsia="zh-CN"/>
              </w:rPr>
            </w:pPr>
            <w:r>
              <w:rPr>
                <w:rFonts w:hint="default" w:ascii="Times New Roman" w:hAnsi="Times New Roman" w:eastAsia="仿宋_GB2312" w:cs="Times New Roman"/>
                <w:b/>
                <w:bCs/>
                <w:color w:val="auto"/>
                <w:kern w:val="2"/>
                <w:sz w:val="24"/>
                <w:szCs w:val="24"/>
                <w:lang w:val="en-US" w:eastAsia="zh-CN" w:bidi="ar-SA"/>
              </w:rPr>
              <w:t>需求背景</w:t>
            </w:r>
            <w:r>
              <w:rPr>
                <w:rFonts w:hint="default" w:ascii="Times New Roman" w:hAnsi="Times New Roman" w:eastAsia="仿宋_GB2312" w:cs="Times New Roman"/>
                <w:color w:val="auto"/>
                <w:kern w:val="2"/>
                <w:sz w:val="24"/>
                <w:szCs w:val="24"/>
                <w:lang w:val="en-US" w:eastAsia="zh-CN" w:bidi="ar-SA"/>
              </w:rPr>
              <w:t>：</w:t>
            </w:r>
            <w:r>
              <w:rPr>
                <w:rFonts w:hint="default" w:ascii="Times New Roman" w:hAnsi="Times New Roman" w:eastAsia="仿宋_GB2312" w:cs="Times New Roman"/>
                <w:i w:val="0"/>
                <w:iCs w:val="0"/>
                <w:caps w:val="0"/>
                <w:color w:val="auto"/>
                <w:spacing w:val="0"/>
                <w:sz w:val="24"/>
                <w:szCs w:val="24"/>
                <w:shd w:val="clear" w:color="auto" w:fill="FFFFFF"/>
                <w:vertAlign w:val="baseline"/>
                <w:lang w:eastAsia="zh-CN"/>
              </w:rPr>
              <w:t>目前国际商事交易和影视作品出海项目等合同约定金华仲裁委解决纠纷比例较低，企业对仲裁制度以及仲裁能否高效解决国际商事纠纷等情况知晓度不高。</w:t>
            </w:r>
          </w:p>
          <w:p w14:paraId="58FF5C48">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right="0" w:rightChars="0"/>
              <w:jc w:val="center"/>
              <w:textAlignment w:val="auto"/>
              <w:outlineLvl w:val="9"/>
              <w:rPr>
                <w:rFonts w:hint="default" w:ascii="Times New Roman" w:hAnsi="Times New Roman" w:eastAsia="仿宋_GB2312" w:cs="Times New Roman"/>
                <w:i w:val="0"/>
                <w:iCs w:val="0"/>
                <w:caps w:val="0"/>
                <w:color w:val="auto"/>
                <w:spacing w:val="0"/>
                <w:sz w:val="24"/>
                <w:szCs w:val="24"/>
                <w:shd w:val="clear" w:color="auto" w:fill="FFFFFF"/>
                <w:vertAlign w:val="baseline"/>
                <w:lang w:eastAsia="zh-CN"/>
              </w:rPr>
            </w:pPr>
            <w:r>
              <w:rPr>
                <w:rFonts w:hint="default" w:ascii="Times New Roman" w:hAnsi="Times New Roman" w:eastAsia="仿宋_GB2312" w:cs="Times New Roman"/>
                <w:b/>
                <w:bCs/>
                <w:color w:val="auto"/>
                <w:kern w:val="2"/>
                <w:sz w:val="24"/>
                <w:szCs w:val="24"/>
                <w:lang w:val="en-US" w:eastAsia="zh-CN" w:bidi="ar-SA"/>
              </w:rPr>
              <w:t>研究重点：</w:t>
            </w:r>
            <w:r>
              <w:rPr>
                <w:rFonts w:hint="default" w:ascii="Times New Roman" w:hAnsi="Times New Roman" w:eastAsia="仿宋_GB2312" w:cs="Times New Roman"/>
                <w:i w:val="0"/>
                <w:iCs w:val="0"/>
                <w:caps w:val="0"/>
                <w:color w:val="auto"/>
                <w:spacing w:val="0"/>
                <w:sz w:val="24"/>
                <w:szCs w:val="24"/>
                <w:shd w:val="clear" w:color="auto" w:fill="FFFFFF"/>
                <w:vertAlign w:val="baseline"/>
                <w:lang w:val="en-US" w:eastAsia="zh-CN"/>
              </w:rPr>
              <w:t>1.大部分企业、商店因本身货物成本不高或追偿成本高，地域上又在国外很难追究，导致不起诉、不仲裁的现象较为普遍。2.</w:t>
            </w:r>
            <w:r>
              <w:rPr>
                <w:rFonts w:hint="default" w:ascii="Times New Roman" w:hAnsi="Times New Roman" w:eastAsia="仿宋_GB2312" w:cs="Times New Roman"/>
                <w:i w:val="0"/>
                <w:iCs w:val="0"/>
                <w:caps w:val="0"/>
                <w:color w:val="auto"/>
                <w:spacing w:val="0"/>
                <w:sz w:val="24"/>
                <w:szCs w:val="24"/>
                <w:shd w:val="clear" w:color="auto" w:fill="FFFFFF"/>
                <w:vertAlign w:val="baseline"/>
                <w:lang w:eastAsia="zh-CN"/>
              </w:rPr>
              <w:t>企业、商户对仲裁制度以及仲裁能否高效解决国际商事纠纷等情况了解不多，知晓度不高。</w:t>
            </w:r>
          </w:p>
          <w:p w14:paraId="608806DC">
            <w:pPr>
              <w:keepNext w:val="0"/>
              <w:keepLines w:val="0"/>
              <w:pageBreakBefore w:val="0"/>
              <w:widowControl w:val="0"/>
              <w:kinsoku/>
              <w:wordWrap/>
              <w:overflowPunct/>
              <w:topLinePunct w:val="0"/>
              <w:autoSpaceDE/>
              <w:autoSpaceDN/>
              <w:bidi w:val="0"/>
              <w:adjustRightInd/>
              <w:snapToGrid/>
              <w:spacing w:line="320" w:lineRule="exact"/>
              <w:ind w:right="0" w:rightChars="0"/>
              <w:jc w:val="center"/>
              <w:textAlignment w:val="auto"/>
              <w:outlineLvl w:val="9"/>
              <w:rPr>
                <w:rFonts w:hint="default" w:ascii="Times New Roman" w:hAnsi="Times New Roman" w:eastAsia="仿宋_GB2312" w:cs="Times New Roman"/>
                <w:i w:val="0"/>
                <w:iCs w:val="0"/>
                <w:caps w:val="0"/>
                <w:color w:val="auto"/>
                <w:spacing w:val="0"/>
                <w:sz w:val="24"/>
                <w:szCs w:val="24"/>
                <w:shd w:val="clear" w:color="auto" w:fill="FFFFFF"/>
                <w:vertAlign w:val="baseline"/>
                <w:lang w:val="en-US" w:eastAsia="zh-CN"/>
              </w:rPr>
            </w:pPr>
            <w:r>
              <w:rPr>
                <w:rFonts w:hint="default" w:ascii="Times New Roman" w:hAnsi="Times New Roman" w:eastAsia="仿宋_GB2312" w:cs="Times New Roman"/>
                <w:b/>
                <w:bCs/>
                <w:i w:val="0"/>
                <w:iCs w:val="0"/>
                <w:caps w:val="0"/>
                <w:color w:val="auto"/>
                <w:spacing w:val="0"/>
                <w:sz w:val="24"/>
                <w:szCs w:val="24"/>
                <w:shd w:val="clear" w:color="auto" w:fill="FFFFFF"/>
                <w:vertAlign w:val="baseline"/>
                <w:lang w:eastAsia="zh-CN"/>
              </w:rPr>
              <w:t>相关指标：</w:t>
            </w:r>
            <w:r>
              <w:rPr>
                <w:rFonts w:hint="default" w:ascii="Times New Roman" w:hAnsi="Times New Roman" w:eastAsia="仿宋_GB2312" w:cs="Times New Roman"/>
                <w:b/>
                <w:bCs/>
                <w:i w:val="0"/>
                <w:iCs w:val="0"/>
                <w:caps w:val="0"/>
                <w:color w:val="auto"/>
                <w:spacing w:val="0"/>
                <w:sz w:val="24"/>
                <w:szCs w:val="24"/>
                <w:shd w:val="clear" w:color="auto" w:fill="FFFFFF"/>
                <w:vertAlign w:val="baseline"/>
                <w:lang w:val="en-US" w:eastAsia="zh-CN"/>
              </w:rPr>
              <w:t>1.</w:t>
            </w:r>
            <w:r>
              <w:rPr>
                <w:rFonts w:hint="default" w:ascii="Times New Roman" w:hAnsi="Times New Roman" w:eastAsia="仿宋_GB2312" w:cs="Times New Roman"/>
                <w:i w:val="0"/>
                <w:iCs w:val="0"/>
                <w:caps w:val="0"/>
                <w:color w:val="auto"/>
                <w:spacing w:val="0"/>
                <w:sz w:val="24"/>
                <w:szCs w:val="24"/>
                <w:shd w:val="clear" w:color="auto" w:fill="FFFFFF"/>
                <w:vertAlign w:val="baseline"/>
                <w:lang w:eastAsia="zh-CN"/>
              </w:rPr>
              <w:t>进一步普及企业、商户对金华仲裁委员会具备解决国际商事纠纷资格和能力进行建档。</w:t>
            </w:r>
            <w:r>
              <w:rPr>
                <w:rFonts w:hint="default" w:ascii="Times New Roman" w:hAnsi="Times New Roman" w:eastAsia="仿宋_GB2312" w:cs="Times New Roman"/>
                <w:i w:val="0"/>
                <w:iCs w:val="0"/>
                <w:caps w:val="0"/>
                <w:color w:val="auto"/>
                <w:spacing w:val="0"/>
                <w:sz w:val="24"/>
                <w:szCs w:val="24"/>
                <w:shd w:val="clear" w:color="auto" w:fill="FFFFFF"/>
                <w:vertAlign w:val="baseline"/>
                <w:lang w:val="en-US" w:eastAsia="zh-CN"/>
              </w:rPr>
              <w:t>2.</w:t>
            </w:r>
            <w:r>
              <w:rPr>
                <w:rFonts w:hint="default" w:ascii="Times New Roman" w:hAnsi="Times New Roman" w:eastAsia="仿宋_GB2312" w:cs="Times New Roman"/>
                <w:i w:val="0"/>
                <w:iCs w:val="0"/>
                <w:caps w:val="0"/>
                <w:color w:val="auto"/>
                <w:spacing w:val="0"/>
                <w:sz w:val="24"/>
                <w:szCs w:val="24"/>
                <w:shd w:val="clear" w:color="auto" w:fill="FFFFFF"/>
                <w:vertAlign w:val="baseline"/>
                <w:lang w:eastAsia="zh-CN"/>
              </w:rPr>
              <w:t>对在签订合同时选择仲裁方式解决商事纠纷的企业、商家比例进行分析。</w:t>
            </w:r>
          </w:p>
        </w:tc>
        <w:tc>
          <w:tcPr>
            <w:tcW w:w="1680" w:type="dxa"/>
            <w:noWrap w:val="0"/>
            <w:vAlign w:val="center"/>
          </w:tcPr>
          <w:p w14:paraId="0AEC1EA2">
            <w:pPr>
              <w:keepNext w:val="0"/>
              <w:keepLines w:val="0"/>
              <w:pageBreakBefore w:val="0"/>
              <w:widowControl w:val="0"/>
              <w:kinsoku/>
              <w:wordWrap/>
              <w:overflowPunct/>
              <w:topLinePunct w:val="0"/>
              <w:autoSpaceDE/>
              <w:autoSpaceDN/>
              <w:bidi w:val="0"/>
              <w:adjustRightInd/>
              <w:snapToGrid/>
              <w:spacing w:line="320" w:lineRule="exact"/>
              <w:ind w:right="0" w:rightChars="0"/>
              <w:jc w:val="center"/>
              <w:textAlignment w:val="auto"/>
              <w:outlineLvl w:val="9"/>
              <w:rPr>
                <w:rFonts w:hint="default" w:ascii="Times New Roman" w:hAnsi="Times New Roman" w:eastAsia="仿宋_GB2312" w:cs="Times New Roman"/>
                <w:i w:val="0"/>
                <w:iCs w:val="0"/>
                <w:caps w:val="0"/>
                <w:color w:val="auto"/>
                <w:spacing w:val="0"/>
                <w:sz w:val="24"/>
                <w:szCs w:val="24"/>
                <w:shd w:val="clear" w:color="auto" w:fill="FFFFFF"/>
                <w:vertAlign w:val="baseline"/>
                <w:lang w:val="en-US" w:eastAsia="zh-CN"/>
              </w:rPr>
            </w:pPr>
            <w:r>
              <w:rPr>
                <w:rFonts w:hint="default" w:ascii="Times New Roman" w:hAnsi="Times New Roman" w:eastAsia="仿宋_GB2312" w:cs="Times New Roman"/>
                <w:i w:val="0"/>
                <w:iCs w:val="0"/>
                <w:caps w:val="0"/>
                <w:color w:val="auto"/>
                <w:spacing w:val="0"/>
                <w:sz w:val="24"/>
                <w:szCs w:val="24"/>
                <w:shd w:val="clear" w:color="auto" w:fill="FFFFFF"/>
                <w:vertAlign w:val="baseline"/>
                <w:lang w:val="en-US" w:eastAsia="zh-CN"/>
              </w:rPr>
              <w:t>研究报告（咨政报告）</w:t>
            </w:r>
          </w:p>
        </w:tc>
      </w:tr>
      <w:tr w14:paraId="33CFE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4" w:type="dxa"/>
            <w:noWrap w:val="0"/>
            <w:vAlign w:val="center"/>
          </w:tcPr>
          <w:p w14:paraId="68ADEDA2">
            <w:pPr>
              <w:keepNext w:val="0"/>
              <w:keepLines w:val="0"/>
              <w:pageBreakBefore w:val="0"/>
              <w:widowControl w:val="0"/>
              <w:kinsoku/>
              <w:wordWrap/>
              <w:overflowPunct/>
              <w:topLinePunct w:val="0"/>
              <w:autoSpaceDE/>
              <w:autoSpaceDN/>
              <w:bidi w:val="0"/>
              <w:adjustRightInd/>
              <w:snapToGrid/>
              <w:spacing w:line="320" w:lineRule="exact"/>
              <w:ind w:right="0" w:rightChars="0"/>
              <w:jc w:val="center"/>
              <w:textAlignment w:val="auto"/>
              <w:outlineLvl w:val="9"/>
              <w:rPr>
                <w:rFonts w:hint="default" w:ascii="Times New Roman" w:hAnsi="Times New Roman" w:eastAsia="仿宋_GB2312" w:cs="Times New Roman"/>
                <w:i w:val="0"/>
                <w:iCs w:val="0"/>
                <w:caps w:val="0"/>
                <w:color w:val="auto"/>
                <w:spacing w:val="0"/>
                <w:sz w:val="24"/>
                <w:szCs w:val="24"/>
                <w:shd w:val="clear" w:color="auto" w:fill="FFFFFF"/>
                <w:vertAlign w:val="baseline"/>
                <w:lang w:val="en-US" w:eastAsia="zh-CN"/>
              </w:rPr>
            </w:pPr>
            <w:r>
              <w:rPr>
                <w:rFonts w:hint="default" w:ascii="Times New Roman" w:hAnsi="Times New Roman" w:eastAsia="仿宋_GB2312" w:cs="Times New Roman"/>
                <w:i w:val="0"/>
                <w:iCs w:val="0"/>
                <w:caps w:val="0"/>
                <w:color w:val="auto"/>
                <w:spacing w:val="0"/>
                <w:sz w:val="24"/>
                <w:szCs w:val="24"/>
                <w:shd w:val="clear" w:color="auto" w:fill="FFFFFF"/>
                <w:vertAlign w:val="baseline"/>
                <w:lang w:val="en-US" w:eastAsia="zh-CN"/>
              </w:rPr>
              <w:t>4</w:t>
            </w:r>
          </w:p>
        </w:tc>
        <w:tc>
          <w:tcPr>
            <w:tcW w:w="2595" w:type="dxa"/>
            <w:noWrap w:val="0"/>
            <w:vAlign w:val="center"/>
          </w:tcPr>
          <w:p w14:paraId="1CF25202">
            <w:pPr>
              <w:keepNext w:val="0"/>
              <w:keepLines w:val="0"/>
              <w:pageBreakBefore w:val="0"/>
              <w:widowControl w:val="0"/>
              <w:kinsoku/>
              <w:wordWrap/>
              <w:overflowPunct/>
              <w:topLinePunct w:val="0"/>
              <w:autoSpaceDE/>
              <w:autoSpaceDN/>
              <w:bidi w:val="0"/>
              <w:adjustRightInd/>
              <w:snapToGrid/>
              <w:spacing w:line="320" w:lineRule="exact"/>
              <w:ind w:right="0" w:rightChars="0"/>
              <w:jc w:val="center"/>
              <w:textAlignment w:val="auto"/>
              <w:outlineLvl w:val="9"/>
              <w:rPr>
                <w:rFonts w:hint="default" w:ascii="Times New Roman" w:hAnsi="Times New Roman" w:eastAsia="仿宋_GB2312" w:cs="Times New Roman"/>
                <w:i w:val="0"/>
                <w:iCs w:val="0"/>
                <w:caps w:val="0"/>
                <w:color w:val="auto"/>
                <w:spacing w:val="0"/>
                <w:kern w:val="2"/>
                <w:sz w:val="24"/>
                <w:szCs w:val="24"/>
                <w:shd w:val="clear" w:color="auto" w:fill="FFFFFF"/>
                <w:vertAlign w:val="baseline"/>
                <w:lang w:val="en-US" w:eastAsia="zh-CN" w:bidi="ar-SA"/>
              </w:rPr>
            </w:pPr>
            <w:r>
              <w:rPr>
                <w:rFonts w:hint="default" w:ascii="Times New Roman" w:hAnsi="Times New Roman" w:eastAsia="仿宋_GB2312" w:cs="Times New Roman"/>
                <w:i w:val="0"/>
                <w:iCs w:val="0"/>
                <w:caps w:val="0"/>
                <w:color w:val="auto"/>
                <w:spacing w:val="0"/>
                <w:sz w:val="24"/>
                <w:szCs w:val="24"/>
                <w:shd w:val="clear" w:color="auto" w:fill="FFFFFF"/>
                <w:vertAlign w:val="baseline"/>
                <w:lang w:val="en-US" w:eastAsia="zh-CN"/>
              </w:rPr>
              <w:t>跨境电商进口产业延链拓链对策研究</w:t>
            </w:r>
          </w:p>
        </w:tc>
        <w:tc>
          <w:tcPr>
            <w:tcW w:w="8108" w:type="dxa"/>
            <w:noWrap w:val="0"/>
            <w:vAlign w:val="center"/>
          </w:tcPr>
          <w:p w14:paraId="6D95D0FA">
            <w:pPr>
              <w:keepNext w:val="0"/>
              <w:keepLines w:val="0"/>
              <w:pageBreakBefore w:val="0"/>
              <w:widowControl w:val="0"/>
              <w:kinsoku/>
              <w:wordWrap/>
              <w:overflowPunct/>
              <w:topLinePunct w:val="0"/>
              <w:autoSpaceDE/>
              <w:autoSpaceDN/>
              <w:bidi w:val="0"/>
              <w:adjustRightInd/>
              <w:snapToGrid/>
              <w:spacing w:line="320" w:lineRule="exact"/>
              <w:ind w:right="0" w:rightChars="0"/>
              <w:jc w:val="center"/>
              <w:textAlignment w:val="auto"/>
              <w:outlineLvl w:val="9"/>
              <w:rPr>
                <w:rFonts w:hint="default" w:ascii="Times New Roman" w:hAnsi="Times New Roman" w:eastAsia="仿宋_GB2312" w:cs="Times New Roman"/>
                <w:i w:val="0"/>
                <w:iCs w:val="0"/>
                <w:caps w:val="0"/>
                <w:color w:val="auto"/>
                <w:spacing w:val="0"/>
                <w:sz w:val="24"/>
                <w:szCs w:val="24"/>
                <w:shd w:val="clear" w:color="auto" w:fill="FFFFFF"/>
                <w:vertAlign w:val="baseline"/>
                <w:lang w:val="en-US" w:eastAsia="zh-CN"/>
              </w:rPr>
            </w:pPr>
            <w:r>
              <w:rPr>
                <w:rFonts w:hint="default" w:ascii="Times New Roman" w:hAnsi="Times New Roman" w:eastAsia="仿宋_GB2312" w:cs="Times New Roman"/>
                <w:color w:val="auto"/>
                <w:sz w:val="24"/>
                <w:szCs w:val="24"/>
                <w:shd w:val="clear" w:color="auto" w:fill="FFFFFF"/>
              </w:rPr>
              <w:t>跨境电商9610模式通关监管与集拼合规的制度型开放</w:t>
            </w:r>
            <w:r>
              <w:rPr>
                <w:rFonts w:hint="default" w:ascii="Times New Roman" w:hAnsi="Times New Roman" w:eastAsia="仿宋_GB2312" w:cs="Times New Roman"/>
                <w:color w:val="auto"/>
                <w:sz w:val="24"/>
                <w:szCs w:val="24"/>
                <w:shd w:val="clear" w:color="auto" w:fill="FFFFFF"/>
                <w:lang w:eastAsia="zh-CN"/>
              </w:rPr>
              <w:t>：</w:t>
            </w:r>
            <w:r>
              <w:rPr>
                <w:rFonts w:hint="default" w:ascii="Times New Roman" w:hAnsi="Times New Roman" w:eastAsia="仿宋_GB2312" w:cs="Times New Roman"/>
                <w:i w:val="0"/>
                <w:iCs w:val="0"/>
                <w:caps w:val="0"/>
                <w:color w:val="auto"/>
                <w:spacing w:val="0"/>
                <w:sz w:val="24"/>
                <w:szCs w:val="24"/>
                <w:shd w:val="clear" w:color="auto" w:fill="FFFFFF"/>
                <w:vertAlign w:val="baseline"/>
                <w:lang w:val="en-US" w:eastAsia="zh-CN"/>
              </w:rPr>
              <w:t>剖析9610模式在碎片化订单申报、海关查验效能及退运溯源等实操环节的制度堵点；探讨依托数字监管平台深化“先查验后装运”监管模式，创新多业态货物拼箱组货的合规机制，系统提出优化9610全链路通关便利化的改革对策。</w:t>
            </w:r>
          </w:p>
          <w:p w14:paraId="32EB202A">
            <w:pPr>
              <w:keepNext w:val="0"/>
              <w:keepLines w:val="0"/>
              <w:pageBreakBefore w:val="0"/>
              <w:widowControl w:val="0"/>
              <w:kinsoku/>
              <w:wordWrap/>
              <w:overflowPunct/>
              <w:topLinePunct w:val="0"/>
              <w:autoSpaceDE/>
              <w:autoSpaceDN/>
              <w:bidi w:val="0"/>
              <w:adjustRightInd/>
              <w:snapToGrid/>
              <w:spacing w:line="320" w:lineRule="exact"/>
              <w:ind w:right="0" w:rightChars="0"/>
              <w:jc w:val="center"/>
              <w:textAlignment w:val="auto"/>
              <w:outlineLvl w:val="9"/>
              <w:rPr>
                <w:rFonts w:hint="default" w:ascii="Times New Roman" w:hAnsi="Times New Roman" w:eastAsia="仿宋_GB2312" w:cs="Times New Roman"/>
                <w:i w:val="0"/>
                <w:iCs w:val="0"/>
                <w:caps w:val="0"/>
                <w:color w:val="auto"/>
                <w:spacing w:val="0"/>
                <w:sz w:val="24"/>
                <w:szCs w:val="24"/>
                <w:shd w:val="clear" w:color="auto" w:fill="FFFFFF"/>
                <w:vertAlign w:val="baseline"/>
                <w:lang w:val="en-US" w:eastAsia="zh-CN"/>
              </w:rPr>
            </w:pPr>
            <w:r>
              <w:rPr>
                <w:rFonts w:hint="default" w:ascii="Times New Roman" w:hAnsi="Times New Roman" w:eastAsia="仿宋_GB2312" w:cs="Times New Roman"/>
                <w:i w:val="0"/>
                <w:iCs w:val="0"/>
                <w:caps w:val="0"/>
                <w:color w:val="auto"/>
                <w:spacing w:val="0"/>
                <w:sz w:val="24"/>
                <w:szCs w:val="24"/>
                <w:shd w:val="clear" w:color="auto" w:fill="FFFFFF"/>
                <w:vertAlign w:val="baseline"/>
                <w:lang w:val="en-US" w:eastAsia="zh-CN"/>
              </w:rPr>
              <w:t>跨境电商9810模式跨部门协同与便利化退税：针对9810模式“出口容易退税难”、资</w:t>
            </w:r>
            <w:bookmarkStart w:id="0" w:name="_GoBack"/>
            <w:bookmarkEnd w:id="0"/>
            <w:r>
              <w:rPr>
                <w:rFonts w:hint="default" w:ascii="Times New Roman" w:hAnsi="Times New Roman" w:eastAsia="仿宋_GB2312" w:cs="Times New Roman"/>
                <w:i w:val="0"/>
                <w:iCs w:val="0"/>
                <w:caps w:val="0"/>
                <w:color w:val="auto"/>
                <w:spacing w:val="0"/>
                <w:sz w:val="24"/>
                <w:szCs w:val="24"/>
                <w:shd w:val="clear" w:color="auto" w:fill="FFFFFF"/>
                <w:vertAlign w:val="baseline"/>
                <w:lang w:val="en-US" w:eastAsia="zh-CN"/>
              </w:rPr>
              <w:t>金结算回流不畅等跨部门协作痛点，研究构建“海关申报+税务退税+外汇结算”闭环管理的数据互信机制；提出简化9810单证审核流程、落实“离境即退税”及深化海外仓数字化的制度突破方案。</w:t>
            </w:r>
          </w:p>
          <w:p w14:paraId="5C607794">
            <w:pPr>
              <w:keepNext w:val="0"/>
              <w:widowControl w:val="0"/>
              <w:spacing w:line="320" w:lineRule="exact"/>
              <w:jc w:val="center"/>
              <w:outlineLvl w:val="9"/>
              <w:rPr>
                <w:rFonts w:hint="default" w:ascii="Times New Roman" w:hAnsi="Times New Roman" w:eastAsia="仿宋_GB2312" w:cs="Times New Roman"/>
                <w:color w:val="auto"/>
                <w:sz w:val="24"/>
                <w:szCs w:val="24"/>
                <w:shd w:val="clear" w:color="auto" w:fill="FFFFFF"/>
                <w:lang w:val="en-US" w:eastAsia="zh-CN"/>
              </w:rPr>
            </w:pPr>
            <w:r>
              <w:rPr>
                <w:rFonts w:hint="default" w:ascii="Times New Roman" w:hAnsi="Times New Roman" w:eastAsia="仿宋_GB2312" w:cs="Times New Roman"/>
                <w:i w:val="0"/>
                <w:iCs w:val="0"/>
                <w:caps w:val="0"/>
                <w:color w:val="auto"/>
                <w:spacing w:val="0"/>
                <w:sz w:val="24"/>
                <w:szCs w:val="24"/>
                <w:shd w:val="clear" w:color="auto" w:fill="FFFFFF"/>
                <w:vertAlign w:val="baseline"/>
                <w:lang w:val="en-US" w:eastAsia="zh-CN"/>
              </w:rPr>
              <w:t>跨境电商1210进口食品保税分装业态监管新模式研究：1.研究进口食品保税分装业态的制度壁垒。重点包括产品属性认定壁垒、监管依据和标准以及企业资质认定壁垒。2.研究进口保税分装业务的跨部门协同联动机制构建。重点包括相关部门合作机制、风险研判标准、联合监管实施、数据共享互认。</w:t>
            </w:r>
            <w:r>
              <w:rPr>
                <w:rFonts w:hint="default" w:ascii="Times New Roman" w:hAnsi="Times New Roman" w:eastAsia="仿宋_GB2312" w:cs="Times New Roman"/>
                <w:i w:val="0"/>
                <w:caps w:val="0"/>
                <w:color w:val="auto"/>
                <w:spacing w:val="0"/>
                <w:sz w:val="24"/>
                <w:szCs w:val="24"/>
                <w:shd w:val="clear" w:color="auto" w:fill="auto"/>
              </w:rPr>
              <w:t>在‌</w:t>
            </w:r>
            <w:r>
              <w:rPr>
                <w:rStyle w:val="9"/>
                <w:rFonts w:hint="default" w:ascii="Times New Roman" w:hAnsi="Times New Roman" w:eastAsia="仿宋_GB2312" w:cs="Times New Roman"/>
                <w:b w:val="0"/>
                <w:i w:val="0"/>
                <w:caps w:val="0"/>
                <w:color w:val="auto"/>
                <w:spacing w:val="0"/>
                <w:sz w:val="24"/>
                <w:szCs w:val="24"/>
                <w:shd w:val="clear" w:color="auto" w:fill="auto"/>
              </w:rPr>
              <w:t>综合保税区</w:t>
            </w:r>
            <w:r>
              <w:rPr>
                <w:rFonts w:hint="default" w:ascii="Times New Roman" w:hAnsi="Times New Roman" w:eastAsia="仿宋_GB2312" w:cs="Times New Roman"/>
                <w:b w:val="0"/>
                <w:i w:val="0"/>
                <w:caps w:val="0"/>
                <w:color w:val="auto"/>
                <w:spacing w:val="0"/>
                <w:sz w:val="24"/>
                <w:szCs w:val="24"/>
                <w:shd w:val="clear" w:color="auto" w:fill="auto"/>
              </w:rPr>
              <w:t>建设</w:t>
            </w:r>
            <w:r>
              <w:rPr>
                <w:rFonts w:hint="default" w:ascii="Times New Roman" w:hAnsi="Times New Roman" w:eastAsia="仿宋_GB2312" w:cs="Times New Roman"/>
                <w:b w:val="0"/>
                <w:i w:val="0"/>
                <w:caps w:val="0"/>
                <w:color w:val="auto"/>
                <w:spacing w:val="0"/>
                <w:sz w:val="24"/>
                <w:szCs w:val="24"/>
                <w:shd w:val="clear" w:color="auto" w:fill="auto"/>
                <w:lang w:eastAsia="zh-CN"/>
              </w:rPr>
              <w:t>跨境电商</w:t>
            </w:r>
            <w:r>
              <w:rPr>
                <w:rFonts w:hint="default" w:ascii="Times New Roman" w:hAnsi="Times New Roman" w:eastAsia="仿宋_GB2312" w:cs="Times New Roman"/>
                <w:b w:val="0"/>
                <w:i w:val="0"/>
                <w:caps w:val="0"/>
                <w:color w:val="auto"/>
                <w:spacing w:val="0"/>
                <w:sz w:val="24"/>
                <w:szCs w:val="24"/>
                <w:shd w:val="clear" w:color="auto" w:fill="auto"/>
              </w:rPr>
              <w:t>1210食品分装智能监管平台</w:t>
            </w:r>
            <w:r>
              <w:rPr>
                <w:rFonts w:hint="default" w:ascii="Times New Roman" w:hAnsi="Times New Roman" w:eastAsia="仿宋_GB2312" w:cs="Times New Roman"/>
                <w:b w:val="0"/>
                <w:i w:val="0"/>
                <w:caps w:val="0"/>
                <w:color w:val="auto"/>
                <w:spacing w:val="0"/>
                <w:sz w:val="24"/>
                <w:szCs w:val="24"/>
                <w:shd w:val="clear" w:color="auto" w:fill="auto"/>
                <w:lang w:eastAsia="zh-CN"/>
              </w:rPr>
              <w:t>，</w:t>
            </w:r>
            <w:r>
              <w:rPr>
                <w:rFonts w:hint="default" w:ascii="Times New Roman" w:hAnsi="Times New Roman" w:eastAsia="仿宋_GB2312" w:cs="Times New Roman"/>
                <w:i w:val="0"/>
                <w:caps w:val="0"/>
                <w:color w:val="auto"/>
                <w:spacing w:val="0"/>
                <w:sz w:val="24"/>
                <w:szCs w:val="24"/>
                <w:shd w:val="clear" w:color="auto" w:fill="auto"/>
              </w:rPr>
              <w:t>形成可复制的“金华方案</w:t>
            </w:r>
            <w:r>
              <w:rPr>
                <w:rFonts w:hint="default" w:ascii="Times New Roman" w:hAnsi="Times New Roman" w:eastAsia="仿宋_GB2312" w:cs="Times New Roman"/>
                <w:i w:val="0"/>
                <w:caps w:val="0"/>
                <w:color w:val="auto"/>
                <w:spacing w:val="0"/>
                <w:sz w:val="24"/>
                <w:szCs w:val="24"/>
                <w:shd w:val="clear" w:color="auto" w:fill="auto"/>
                <w:lang w:eastAsia="zh-CN"/>
              </w:rPr>
              <w:t>”，争取</w:t>
            </w:r>
            <w:r>
              <w:rPr>
                <w:rFonts w:hint="default" w:ascii="Times New Roman" w:hAnsi="Times New Roman" w:eastAsia="仿宋_GB2312" w:cs="Times New Roman"/>
                <w:i w:val="0"/>
                <w:caps w:val="0"/>
                <w:color w:val="auto"/>
                <w:spacing w:val="0"/>
                <w:sz w:val="24"/>
                <w:szCs w:val="24"/>
                <w:shd w:val="clear" w:color="auto" w:fill="auto"/>
              </w:rPr>
              <w:t>‌</w:t>
            </w:r>
            <w:r>
              <w:rPr>
                <w:rStyle w:val="9"/>
                <w:rFonts w:hint="default" w:ascii="Times New Roman" w:hAnsi="Times New Roman" w:eastAsia="仿宋_GB2312" w:cs="Times New Roman"/>
                <w:b w:val="0"/>
                <w:i w:val="0"/>
                <w:caps w:val="0"/>
                <w:color w:val="auto"/>
                <w:spacing w:val="0"/>
                <w:sz w:val="24"/>
                <w:szCs w:val="24"/>
                <w:shd w:val="clear" w:color="auto" w:fill="auto"/>
              </w:rPr>
              <w:t>国家级试点</w:t>
            </w:r>
            <w:r>
              <w:rPr>
                <w:rStyle w:val="9"/>
                <w:rFonts w:hint="default" w:ascii="Times New Roman" w:hAnsi="Times New Roman" w:eastAsia="仿宋_GB2312" w:cs="Times New Roman"/>
                <w:b w:val="0"/>
                <w:i w:val="0"/>
                <w:caps w:val="0"/>
                <w:color w:val="auto"/>
                <w:spacing w:val="0"/>
                <w:sz w:val="24"/>
                <w:szCs w:val="24"/>
                <w:shd w:val="clear" w:color="auto" w:fill="auto"/>
                <w:lang w:eastAsia="zh-CN"/>
              </w:rPr>
              <w:t>。</w:t>
            </w:r>
          </w:p>
          <w:p w14:paraId="014C6437">
            <w:pPr>
              <w:keepNext w:val="0"/>
              <w:keepLines w:val="0"/>
              <w:pageBreakBefore w:val="0"/>
              <w:widowControl w:val="0"/>
              <w:kinsoku/>
              <w:wordWrap/>
              <w:overflowPunct/>
              <w:topLinePunct w:val="0"/>
              <w:autoSpaceDE/>
              <w:autoSpaceDN/>
              <w:bidi w:val="0"/>
              <w:adjustRightInd/>
              <w:snapToGrid/>
              <w:spacing w:line="320" w:lineRule="exact"/>
              <w:ind w:right="0" w:rightChars="0"/>
              <w:jc w:val="center"/>
              <w:textAlignment w:val="auto"/>
              <w:outlineLvl w:val="9"/>
              <w:rPr>
                <w:rFonts w:hint="default" w:ascii="Times New Roman" w:hAnsi="Times New Roman" w:eastAsia="仿宋_GB2312" w:cs="Times New Roman"/>
                <w:i w:val="0"/>
                <w:iCs w:val="0"/>
                <w:caps w:val="0"/>
                <w:color w:val="auto"/>
                <w:spacing w:val="0"/>
                <w:sz w:val="24"/>
                <w:szCs w:val="24"/>
                <w:shd w:val="clear" w:color="auto" w:fill="FFFFFF"/>
                <w:vertAlign w:val="baseline"/>
                <w:lang w:val="en-US" w:eastAsia="zh-CN"/>
              </w:rPr>
            </w:pPr>
            <w:r>
              <w:rPr>
                <w:rFonts w:hint="default" w:ascii="Times New Roman" w:hAnsi="Times New Roman" w:eastAsia="仿宋_GB2312" w:cs="Times New Roman"/>
                <w:i w:val="0"/>
                <w:iCs w:val="0"/>
                <w:caps w:val="0"/>
                <w:color w:val="auto"/>
                <w:spacing w:val="0"/>
                <w:sz w:val="24"/>
                <w:szCs w:val="24"/>
                <w:shd w:val="clear" w:color="auto" w:fill="FFFFFF"/>
                <w:vertAlign w:val="baseline"/>
                <w:lang w:val="en-US" w:eastAsia="zh-CN"/>
              </w:rPr>
              <w:t>AI赋能跨境电商全链路的模式创新与合规体系：</w:t>
            </w:r>
            <w:r>
              <w:rPr>
                <w:rFonts w:hint="default" w:ascii="Times New Roman" w:hAnsi="Times New Roman" w:eastAsia="仿宋_GB2312" w:cs="Times New Roman"/>
                <w:color w:val="auto"/>
                <w:sz w:val="24"/>
                <w:szCs w:val="24"/>
                <w:shd w:val="clear" w:color="auto" w:fill="FFFFFF"/>
              </w:rPr>
              <w:t>聚焦“AI+跨境电商”发展前沿，深入剖析人工智能在智能选品、多语言营销等环节的应用机制与潜在风险</w:t>
            </w:r>
            <w:r>
              <w:rPr>
                <w:rFonts w:hint="default" w:ascii="Times New Roman" w:hAnsi="Times New Roman" w:eastAsia="仿宋_GB2312" w:cs="Times New Roman"/>
                <w:color w:val="auto"/>
                <w:sz w:val="24"/>
                <w:szCs w:val="24"/>
                <w:shd w:val="clear" w:color="auto" w:fill="FFFFFF"/>
                <w:lang w:eastAsia="zh-CN"/>
              </w:rPr>
              <w:t>；</w:t>
            </w:r>
            <w:r>
              <w:rPr>
                <w:rFonts w:hint="default" w:ascii="Times New Roman" w:hAnsi="Times New Roman" w:eastAsia="仿宋_GB2312" w:cs="Times New Roman"/>
                <w:color w:val="auto"/>
                <w:sz w:val="24"/>
                <w:szCs w:val="24"/>
                <w:shd w:val="clear" w:color="auto" w:fill="FFFFFF"/>
              </w:rPr>
              <w:t>围绕构建涉外法律合规、知识产权保护、技术标准互认等理论框架，系统提出全链路赋能的政策支持与监管体系建设路径。</w:t>
            </w:r>
          </w:p>
        </w:tc>
        <w:tc>
          <w:tcPr>
            <w:tcW w:w="1680" w:type="dxa"/>
            <w:noWrap w:val="0"/>
            <w:vAlign w:val="center"/>
          </w:tcPr>
          <w:p w14:paraId="3A021D84">
            <w:pPr>
              <w:keepNext w:val="0"/>
              <w:keepLines w:val="0"/>
              <w:pageBreakBefore w:val="0"/>
              <w:widowControl w:val="0"/>
              <w:kinsoku/>
              <w:wordWrap/>
              <w:overflowPunct/>
              <w:topLinePunct w:val="0"/>
              <w:autoSpaceDE/>
              <w:autoSpaceDN/>
              <w:bidi w:val="0"/>
              <w:adjustRightInd/>
              <w:snapToGrid/>
              <w:spacing w:line="320" w:lineRule="exact"/>
              <w:ind w:right="0" w:rightChars="0"/>
              <w:jc w:val="center"/>
              <w:textAlignment w:val="auto"/>
              <w:outlineLvl w:val="9"/>
              <w:rPr>
                <w:rFonts w:hint="default" w:ascii="Times New Roman" w:hAnsi="Times New Roman" w:eastAsia="仿宋_GB2312" w:cs="Times New Roman"/>
                <w:i w:val="0"/>
                <w:iCs w:val="0"/>
                <w:caps w:val="0"/>
                <w:color w:val="auto"/>
                <w:spacing w:val="0"/>
                <w:sz w:val="24"/>
                <w:szCs w:val="24"/>
                <w:shd w:val="clear" w:color="auto" w:fill="FFFFFF"/>
                <w:vertAlign w:val="baseline"/>
                <w:lang w:val="en-US" w:eastAsia="zh-CN"/>
              </w:rPr>
            </w:pPr>
            <w:r>
              <w:rPr>
                <w:rFonts w:hint="default" w:ascii="Times New Roman" w:hAnsi="Times New Roman" w:eastAsia="仿宋_GB2312" w:cs="Times New Roman"/>
                <w:i w:val="0"/>
                <w:iCs w:val="0"/>
                <w:caps w:val="0"/>
                <w:color w:val="auto"/>
                <w:spacing w:val="0"/>
                <w:sz w:val="24"/>
                <w:szCs w:val="24"/>
                <w:shd w:val="clear" w:color="auto" w:fill="FFFFFF"/>
                <w:vertAlign w:val="baseline"/>
                <w:lang w:val="en-US" w:eastAsia="zh-CN"/>
              </w:rPr>
              <w:t>研究报告（咨政报告）</w:t>
            </w:r>
          </w:p>
        </w:tc>
      </w:tr>
    </w:tbl>
    <w:p w14:paraId="081D012D"/>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A7153EEF-9518-4524-87DC-57234D02F24A}"/>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embedRegular r:id="rId2" w:fontKey="{07FDF24D-6822-4399-8C2C-1ADD744E9EA0}"/>
  </w:font>
  <w:font w:name="仿宋_GB2312">
    <w:altName w:val="仿宋"/>
    <w:panose1 w:val="02010609030101010101"/>
    <w:charset w:val="86"/>
    <w:family w:val="auto"/>
    <w:pitch w:val="default"/>
    <w:sig w:usb0="00000000" w:usb1="00000000" w:usb2="00000000" w:usb3="00000000" w:csb0="00040000" w:csb1="00000000"/>
    <w:embedRegular r:id="rId3" w:fontKey="{A534A6B0-C3B4-4A85-A082-6AD1347F10E1}"/>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BFBF8C"/>
    <w:multiLevelType w:val="singleLevel"/>
    <w:tmpl w:val="FBBFBF8C"/>
    <w:lvl w:ilvl="0" w:tentative="0">
      <w:start w:val="4"/>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3B951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next w:val="3"/>
    <w:semiHidden/>
    <w:qFormat/>
    <w:uiPriority w:val="0"/>
    <w:rPr>
      <w:rFonts w:ascii="仿宋" w:hAnsi="仿宋" w:eastAsia="仿宋" w:cs="仿宋"/>
      <w:sz w:val="36"/>
      <w:szCs w:val="36"/>
      <w:lang w:val="en-US" w:eastAsia="en-US" w:bidi="ar-SA"/>
    </w:rPr>
  </w:style>
  <w:style w:type="paragraph" w:styleId="3">
    <w:name w:val="Body Text First Indent"/>
    <w:basedOn w:val="2"/>
    <w:unhideWhenUsed/>
    <w:qFormat/>
    <w:uiPriority w:val="99"/>
    <w:pPr>
      <w:ind w:firstLine="420" w:firstLineChars="100"/>
    </w:pPr>
  </w:style>
  <w:style w:type="paragraph" w:styleId="4">
    <w:name w:val="toc 5"/>
    <w:basedOn w:val="1"/>
    <w:next w:val="1"/>
    <w:qFormat/>
    <w:uiPriority w:val="0"/>
    <w:rPr>
      <w:rFonts w:ascii="Times New Roman" w:hAnsi="Times New Roman" w:cs="Times New Roman"/>
      <w:sz w:val="24"/>
    </w:rPr>
  </w:style>
  <w:style w:type="paragraph" w:styleId="5">
    <w:name w:val="footer"/>
    <w:basedOn w:val="1"/>
    <w:qFormat/>
    <w:uiPriority w:val="99"/>
    <w:pPr>
      <w:tabs>
        <w:tab w:val="center" w:pos="4153"/>
        <w:tab w:val="right" w:pos="8306"/>
      </w:tabs>
      <w:snapToGrid w:val="0"/>
      <w:jc w:val="left"/>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2026-03-25T01:10:40Z</dcterms:created>
  <dc:creator>admin</dc:creator>
  <cp:lastModifiedBy>陶微</cp:lastModifiedBy>
  <dcterms:modified xsi:type="dcterms:W3CDTF">2026-03-25T01:12:19Z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eyJoZGlkIjoiMjY0OGVjMDRjNzI2YjA1Yjg4MTk4MThmNjA1YmU4ZjAiLCJ1c2VySWQiOiIxNzM4MjIwMjUyIn0=</vt:lpwstr>
  </property>
  <property fmtid="{D5CDD505-2E9C-101B-9397-08002B2CF9AE}" pid="4" name="ICV">
    <vt:lpwstr>C9FCA8E90DC945C88FDC21CFCDC93415_12</vt:lpwstr>
  </property>
</Properties>
</file>