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78"/>
        <w:gridCol w:w="1716"/>
        <w:gridCol w:w="6036"/>
      </w:tblGrid>
      <w:tr w:rsidR="00E84CF4" w:rsidRPr="00E84CF4" w14:paraId="649220A7" w14:textId="77777777" w:rsidTr="00E84CF4">
        <w:trPr>
          <w:trHeight w:val="10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9A3BD6" w14:textId="2B5C06CA" w:rsidR="00E84CF4" w:rsidRDefault="00E84CF4" w:rsidP="00E84CF4">
            <w:pPr>
              <w:overflowPunct w:val="0"/>
              <w:contextualSpacing/>
              <w:rPr>
                <w:rFonts w:ascii="黑体" w:eastAsia="黑体" w:hAnsi="黑体"/>
                <w:szCs w:val="32"/>
              </w:rPr>
            </w:pPr>
            <w:bookmarkStart w:id="0" w:name="OLE_LINK2"/>
            <w:r w:rsidRPr="00E84CF4">
              <w:rPr>
                <w:rFonts w:ascii="黑体" w:eastAsia="黑体" w:hAnsi="黑体" w:hint="eastAsia"/>
                <w:szCs w:val="32"/>
              </w:rPr>
              <w:t>附件</w:t>
            </w:r>
          </w:p>
          <w:p w14:paraId="18753B43" w14:textId="77777777" w:rsidR="00E84CF4" w:rsidRPr="00E84CF4" w:rsidRDefault="00E84CF4" w:rsidP="00E84CF4">
            <w:pPr>
              <w:overflowPunct w:val="0"/>
              <w:snapToGrid w:val="0"/>
              <w:spacing w:line="300" w:lineRule="auto"/>
              <w:jc w:val="center"/>
              <w:rPr>
                <w:rFonts w:ascii="黑体" w:eastAsia="黑体" w:hAnsi="黑体"/>
                <w:szCs w:val="32"/>
              </w:rPr>
            </w:pPr>
          </w:p>
          <w:p w14:paraId="43F68D28" w14:textId="77777777" w:rsidR="00E84CF4" w:rsidRPr="00E84CF4" w:rsidRDefault="00E84CF4" w:rsidP="00E84CF4">
            <w:pPr>
              <w:overflowPunct w:val="0"/>
              <w:snapToGrid w:val="0"/>
              <w:spacing w:line="300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bookmarkStart w:id="1" w:name="OLE_LINK1"/>
            <w:r w:rsidRPr="00E84CF4">
              <w:rPr>
                <w:rFonts w:ascii="方正小标宋简体" w:eastAsia="方正小标宋简体" w:hint="eastAsia"/>
                <w:sz w:val="44"/>
                <w:szCs w:val="44"/>
              </w:rPr>
              <w:t>2026年度浙江省哲学社会科学规划应用对策</w:t>
            </w:r>
            <w:r w:rsidRPr="00E84CF4">
              <w:rPr>
                <w:rFonts w:ascii="方正小标宋简体" w:eastAsia="方正小标宋简体" w:hint="eastAsia"/>
                <w:sz w:val="44"/>
                <w:szCs w:val="44"/>
              </w:rPr>
              <w:br/>
              <w:t>（社科赋能）课题揭榜挂帅清单</w:t>
            </w:r>
            <w:bookmarkEnd w:id="1"/>
          </w:p>
        </w:tc>
      </w:tr>
      <w:tr w:rsidR="00E84CF4" w:rsidRPr="00E84CF4" w14:paraId="0C1D5589" w14:textId="77777777" w:rsidTr="00E60D1E">
        <w:trPr>
          <w:trHeight w:val="37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BA0C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84CF4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B528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84CF4">
              <w:rPr>
                <w:rFonts w:ascii="黑体" w:eastAsia="黑体" w:hAnsi="黑体"/>
                <w:sz w:val="28"/>
                <w:szCs w:val="28"/>
              </w:rPr>
              <w:t>赋能地区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B3D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84CF4">
              <w:rPr>
                <w:rFonts w:ascii="黑体" w:eastAsia="黑体" w:hAnsi="黑体"/>
                <w:sz w:val="28"/>
                <w:szCs w:val="28"/>
              </w:rPr>
              <w:t>选题名称</w:t>
            </w:r>
          </w:p>
        </w:tc>
      </w:tr>
      <w:tr w:rsidR="00E84CF4" w:rsidRPr="00E84CF4" w14:paraId="619DF7ED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71ED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0A0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滨江区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B78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赛演引流效应下本地消费场景的重构与增值路径研究</w:t>
            </w:r>
          </w:p>
        </w:tc>
      </w:tr>
      <w:tr w:rsidR="00E84CF4" w:rsidRPr="00E84CF4" w14:paraId="39C193E2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290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850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乐清市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93FC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深化景城联动双向赋能推动乐清消费升级研究</w:t>
            </w:r>
          </w:p>
        </w:tc>
      </w:tr>
      <w:tr w:rsidR="00E84CF4" w:rsidRPr="00E84CF4" w14:paraId="7FCF838F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1AF8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E7C1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吴兴区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D8E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块状经济转型升级促进区域高质量发展</w:t>
            </w:r>
            <w:r w:rsidRPr="00E84CF4">
              <w:rPr>
                <w:rFonts w:eastAsiaTheme="minorEastAsia"/>
                <w:sz w:val="28"/>
                <w:szCs w:val="28"/>
              </w:rPr>
              <w:t>——</w:t>
            </w:r>
            <w:r w:rsidRPr="00E84CF4">
              <w:rPr>
                <w:rFonts w:eastAsiaTheme="minorEastAsia"/>
                <w:sz w:val="28"/>
                <w:szCs w:val="28"/>
              </w:rPr>
              <w:t>以吴兴区织里童装产业为例</w:t>
            </w:r>
          </w:p>
        </w:tc>
      </w:tr>
      <w:tr w:rsidR="00E84CF4" w:rsidRPr="00E84CF4" w14:paraId="251C1D09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F1E5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BC3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海宁市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3D556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双碳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大背景下海宁产业绿色转型发展研究</w:t>
            </w:r>
          </w:p>
        </w:tc>
      </w:tr>
      <w:tr w:rsidR="00E84CF4" w:rsidRPr="00E84CF4" w14:paraId="24B789AE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9F1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E1E5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义乌市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D72C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双碳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背景下义乌高增长与碳达峰的协同路径研究</w:t>
            </w:r>
          </w:p>
        </w:tc>
      </w:tr>
      <w:tr w:rsidR="00E84CF4" w:rsidRPr="00E84CF4" w14:paraId="2953D677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91C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862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温岭市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AB3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双碳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背景下温岭市国家级零碳产业园建设路径研究</w:t>
            </w:r>
          </w:p>
        </w:tc>
      </w:tr>
      <w:tr w:rsidR="00E84CF4" w:rsidRPr="00E84CF4" w14:paraId="6769A99D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4E4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B25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定海区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78F1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海洋产业创新生态构建与高质量发展路径研究</w:t>
            </w:r>
            <w:r w:rsidRPr="00E84CF4">
              <w:rPr>
                <w:rFonts w:eastAsiaTheme="minorEastAsia"/>
                <w:sz w:val="28"/>
                <w:szCs w:val="28"/>
              </w:rPr>
              <w:t>——</w:t>
            </w:r>
            <w:r w:rsidRPr="00E84CF4">
              <w:rPr>
                <w:rFonts w:eastAsiaTheme="minorEastAsia"/>
                <w:sz w:val="28"/>
                <w:szCs w:val="28"/>
              </w:rPr>
              <w:t>以舟山市定海区为例</w:t>
            </w:r>
          </w:p>
        </w:tc>
      </w:tr>
      <w:tr w:rsidR="00E84CF4" w:rsidRPr="00E84CF4" w14:paraId="0DD6356C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E21F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BA34B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青田县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3A8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水上运动之城、博物馆群之城、书香咖啡阅读之城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三城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融合发展的对策建议</w:t>
            </w:r>
          </w:p>
        </w:tc>
      </w:tr>
      <w:tr w:rsidR="00E84CF4" w:rsidRPr="00E84CF4" w14:paraId="18F510AA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24AF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2D1B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景宁县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556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景宁文旅融合发展的路径探析</w:t>
            </w:r>
          </w:p>
        </w:tc>
      </w:tr>
      <w:tr w:rsidR="00E84CF4" w:rsidRPr="00E84CF4" w14:paraId="73E6503D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09F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627C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FE66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庆元打造省际交界县域公共服务高地的对策研究</w:t>
            </w:r>
          </w:p>
        </w:tc>
      </w:tr>
      <w:tr w:rsidR="00E84CF4" w:rsidRPr="00E84CF4" w14:paraId="6455B625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3569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E3B8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FD3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庆元县特色生态文化资源的研究与开发</w:t>
            </w:r>
          </w:p>
        </w:tc>
      </w:tr>
      <w:tr w:rsidR="00E84CF4" w:rsidRPr="00E84CF4" w14:paraId="18C2611E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90F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3B2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7A65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低空经济背景下县域公共服务的庆元实践与机制构建</w:t>
            </w:r>
          </w:p>
        </w:tc>
      </w:tr>
      <w:tr w:rsidR="00E84CF4" w:rsidRPr="00E84CF4" w14:paraId="4562A71C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6901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D328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龙泉市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B69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生态产品价值实现的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龙泉经验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总结与推广研究</w:t>
            </w:r>
            <w:r w:rsidRPr="00E84CF4">
              <w:rPr>
                <w:rFonts w:eastAsiaTheme="minorEastAsia"/>
                <w:sz w:val="28"/>
                <w:szCs w:val="28"/>
              </w:rPr>
              <w:t>——</w:t>
            </w:r>
            <w:r w:rsidRPr="00E84CF4">
              <w:rPr>
                <w:rFonts w:eastAsiaTheme="minorEastAsia"/>
                <w:sz w:val="28"/>
                <w:szCs w:val="28"/>
              </w:rPr>
              <w:t>基于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益林共富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与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丽水山泉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的实践</w:t>
            </w:r>
          </w:p>
        </w:tc>
      </w:tr>
      <w:tr w:rsidR="00E84CF4" w:rsidRPr="00E84CF4" w14:paraId="1A338878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C399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AA08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龙泉市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CF30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龙泉市山区基层治理与产业发展现代化路径研究</w:t>
            </w:r>
          </w:p>
        </w:tc>
      </w:tr>
      <w:tr w:rsidR="00E84CF4" w:rsidRPr="00E84CF4" w14:paraId="13941E8D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16EB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71F79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平阳县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203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推进平阳城市内涵式发展的对策研究</w:t>
            </w:r>
          </w:p>
        </w:tc>
      </w:tr>
      <w:tr w:rsidR="00E84CF4" w:rsidRPr="00E84CF4" w14:paraId="1D84460A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B3A8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02DC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平阳县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368B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加快环南雁文旅片区发展，构建全域旅游新格局</w:t>
            </w:r>
          </w:p>
        </w:tc>
      </w:tr>
      <w:tr w:rsidR="00E84CF4" w:rsidRPr="00E84CF4" w14:paraId="308F3C52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AB25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AF8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天台县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2536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人与自然和谐共生的中国式现代化县域实践范式研究</w:t>
            </w:r>
            <w:r w:rsidRPr="00E84CF4">
              <w:rPr>
                <w:rFonts w:eastAsiaTheme="minorEastAsia"/>
                <w:sz w:val="28"/>
                <w:szCs w:val="28"/>
              </w:rPr>
              <w:t>——</w:t>
            </w:r>
            <w:r w:rsidRPr="00E84CF4">
              <w:rPr>
                <w:rFonts w:eastAsiaTheme="minorEastAsia"/>
                <w:sz w:val="28"/>
                <w:szCs w:val="28"/>
              </w:rPr>
              <w:t>天台水生态治理与价值转化模式的时代解读</w:t>
            </w:r>
          </w:p>
        </w:tc>
      </w:tr>
      <w:tr w:rsidR="00E84CF4" w:rsidRPr="00E84CF4" w14:paraId="4954A367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D60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B16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天台县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18A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依托天台山仙隐之境打造旅居圣地的路径研究</w:t>
            </w:r>
          </w:p>
        </w:tc>
      </w:tr>
      <w:tr w:rsidR="00E84CF4" w:rsidRPr="00E84CF4" w14:paraId="5B24C731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783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AA37C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EB865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关于推进三门产业平台提能升级，加快构建现代产业体系的思考</w:t>
            </w:r>
          </w:p>
        </w:tc>
      </w:tr>
      <w:tr w:rsidR="00E84CF4" w:rsidRPr="00E84CF4" w14:paraId="5412CA0C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8E19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331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DE2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关于三门县加快建设城镇村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三层美丽圈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，推进城乡一体融合发展的路径探索</w:t>
            </w:r>
          </w:p>
        </w:tc>
      </w:tr>
      <w:tr w:rsidR="00E84CF4" w:rsidRPr="00E84CF4" w14:paraId="3E3A45D0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E1190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AE09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5585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关于乡村振兴背景下三门县推进乡创人才工作的路径研究</w:t>
            </w:r>
          </w:p>
        </w:tc>
      </w:tr>
      <w:tr w:rsidR="00E84CF4" w:rsidRPr="00E84CF4" w14:paraId="3F3C48E2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1859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FBBA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嵊泗县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EFE8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组团式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精准帮扶机制推动海岛县嵊泗共同富裕的效能与对策建议研究</w:t>
            </w:r>
          </w:p>
        </w:tc>
      </w:tr>
      <w:tr w:rsidR="00E84CF4" w:rsidRPr="00E84CF4" w14:paraId="462C5CDB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E96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21E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缙云县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6C5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缙云县打造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活力山水公园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的城乡融合路径研究</w:t>
            </w:r>
          </w:p>
        </w:tc>
      </w:tr>
      <w:tr w:rsidR="00E84CF4" w:rsidRPr="00E84CF4" w14:paraId="2C69077D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19F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7315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缙云县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C4A3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缙云传统制造业数字化转型路径研究</w:t>
            </w:r>
          </w:p>
        </w:tc>
      </w:tr>
      <w:tr w:rsidR="00E84CF4" w:rsidRPr="00E84CF4" w14:paraId="392E8A29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0D8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6941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遂昌县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B676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数字乡村视域下高校赋能遂昌县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新农人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传媒素养的路径研究</w:t>
            </w:r>
          </w:p>
        </w:tc>
      </w:tr>
      <w:tr w:rsidR="00E84CF4" w:rsidRPr="00E84CF4" w14:paraId="603CB3F4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10B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79A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遂昌县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F87E1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延伸矿产资源产业链打造经济新增长点的研究</w:t>
            </w:r>
          </w:p>
        </w:tc>
      </w:tr>
      <w:tr w:rsidR="00E84CF4" w:rsidRPr="00E84CF4" w14:paraId="65562AA7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831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CEF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柯城区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DA9C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深化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五链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融合背景下柯城光电（半导体）产业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从有到优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的路径与对策研究</w:t>
            </w:r>
          </w:p>
        </w:tc>
      </w:tr>
      <w:tr w:rsidR="00E84CF4" w:rsidRPr="00E84CF4" w14:paraId="24F22E6D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24D5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C2E4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衢江区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718D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新型城镇化片区产业联动促进兴村富民的衢江探索启示与提升建议</w:t>
            </w:r>
          </w:p>
        </w:tc>
      </w:tr>
      <w:tr w:rsidR="00E84CF4" w:rsidRPr="00E84CF4" w14:paraId="7A2C20A1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DD5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5953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衢江区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B5C6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山区县青年人才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留得住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的心理动因与政策适配研究</w:t>
            </w:r>
            <w:r w:rsidRPr="00E84CF4">
              <w:rPr>
                <w:rFonts w:eastAsiaTheme="minorEastAsia"/>
                <w:sz w:val="28"/>
                <w:szCs w:val="28"/>
              </w:rPr>
              <w:t>——</w:t>
            </w:r>
            <w:r w:rsidRPr="00E84CF4">
              <w:rPr>
                <w:rFonts w:eastAsiaTheme="minorEastAsia"/>
                <w:sz w:val="28"/>
                <w:szCs w:val="28"/>
              </w:rPr>
              <w:t>以衢江区为例</w:t>
            </w:r>
          </w:p>
        </w:tc>
      </w:tr>
      <w:tr w:rsidR="00E84CF4" w:rsidRPr="00E84CF4" w14:paraId="228D8B9B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A712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20447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EE1C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海岛文化基因解码与超级</w:t>
            </w:r>
            <w:r w:rsidRPr="00E84CF4">
              <w:rPr>
                <w:rFonts w:eastAsiaTheme="minorEastAsia"/>
                <w:sz w:val="28"/>
                <w:szCs w:val="28"/>
              </w:rPr>
              <w:t xml:space="preserve">IP </w:t>
            </w:r>
            <w:r w:rsidRPr="00E84CF4">
              <w:rPr>
                <w:rFonts w:eastAsiaTheme="minorEastAsia"/>
                <w:sz w:val="28"/>
                <w:szCs w:val="28"/>
              </w:rPr>
              <w:t>建构路径研究</w:t>
            </w:r>
          </w:p>
        </w:tc>
      </w:tr>
      <w:tr w:rsidR="00E84CF4" w:rsidRPr="00E84CF4" w14:paraId="1F765761" w14:textId="77777777" w:rsidTr="00E60D1E">
        <w:trPr>
          <w:trHeight w:val="57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6E36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CA3C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379E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岱山县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土特产富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全产业链培育与海岛特色农业品牌建设研究</w:t>
            </w:r>
          </w:p>
        </w:tc>
      </w:tr>
      <w:tr w:rsidR="00E84CF4" w:rsidRPr="00E84CF4" w14:paraId="0BAAF2F2" w14:textId="77777777" w:rsidTr="00E60D1E">
        <w:trPr>
          <w:trHeight w:val="285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F9D0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9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6554F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B31B" w14:textId="77777777" w:rsidR="00E84CF4" w:rsidRPr="00E84CF4" w:rsidRDefault="00E84CF4" w:rsidP="00E84CF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 w:rsidRPr="00E84CF4">
              <w:rPr>
                <w:rFonts w:eastAsiaTheme="minorEastAsia"/>
                <w:sz w:val="28"/>
                <w:szCs w:val="28"/>
              </w:rPr>
              <w:t>岱山县</w:t>
            </w:r>
            <w:r w:rsidRPr="00E84CF4">
              <w:rPr>
                <w:rFonts w:eastAsiaTheme="minorEastAsia"/>
                <w:sz w:val="28"/>
                <w:szCs w:val="28"/>
              </w:rPr>
              <w:t>“</w:t>
            </w:r>
            <w:r w:rsidRPr="00E84CF4">
              <w:rPr>
                <w:rFonts w:eastAsiaTheme="minorEastAsia"/>
                <w:sz w:val="28"/>
                <w:szCs w:val="28"/>
              </w:rPr>
              <w:t>海田景农</w:t>
            </w:r>
            <w:r w:rsidRPr="00E84CF4">
              <w:rPr>
                <w:rFonts w:eastAsiaTheme="minorEastAsia"/>
                <w:sz w:val="28"/>
                <w:szCs w:val="28"/>
              </w:rPr>
              <w:t>”</w:t>
            </w:r>
            <w:r w:rsidRPr="00E84CF4">
              <w:rPr>
                <w:rFonts w:eastAsiaTheme="minorEastAsia"/>
                <w:sz w:val="28"/>
                <w:szCs w:val="28"/>
              </w:rPr>
              <w:t>多元融合路径构建与实施研究</w:t>
            </w:r>
          </w:p>
        </w:tc>
      </w:tr>
      <w:bookmarkEnd w:id="0"/>
    </w:tbl>
    <w:p w14:paraId="7D57687A" w14:textId="77777777" w:rsidR="00DD3991" w:rsidRDefault="00DD3991" w:rsidP="00E60D1E">
      <w:pPr>
        <w:overflowPunct w:val="0"/>
        <w:spacing w:line="240" w:lineRule="exact"/>
        <w:contextualSpacing/>
        <w:rPr>
          <w:rFonts w:eastAsia="仿宋_GB2312"/>
          <w:color w:val="333333"/>
          <w:kern w:val="36"/>
          <w:szCs w:val="32"/>
        </w:rPr>
      </w:pPr>
    </w:p>
    <w:sectPr w:rsidR="00DD3991" w:rsidSect="00B03060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3D5A6" w14:textId="77777777" w:rsidR="003E36F6" w:rsidRDefault="003E36F6" w:rsidP="00042B94">
      <w:r>
        <w:separator/>
      </w:r>
    </w:p>
  </w:endnote>
  <w:endnote w:type="continuationSeparator" w:id="0">
    <w:p w14:paraId="44B40AD7" w14:textId="77777777" w:rsidR="003E36F6" w:rsidRDefault="003E36F6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CC5F0" w14:textId="77777777" w:rsidR="003E36F6" w:rsidRDefault="003E36F6" w:rsidP="00042B94">
      <w:r>
        <w:separator/>
      </w:r>
    </w:p>
  </w:footnote>
  <w:footnote w:type="continuationSeparator" w:id="0">
    <w:p w14:paraId="13B7932D" w14:textId="77777777" w:rsidR="003E36F6" w:rsidRDefault="003E36F6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DB15D5C"/>
    <w:multiLevelType w:val="singleLevel"/>
    <w:tmpl w:val="DDB15D5C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E2668196"/>
    <w:multiLevelType w:val="singleLevel"/>
    <w:tmpl w:val="E2668196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96D37D"/>
    <w:multiLevelType w:val="singleLevel"/>
    <w:tmpl w:val="5296D37D"/>
    <w:lvl w:ilvl="0">
      <w:start w:val="5"/>
      <w:numFmt w:val="upperLetter"/>
      <w:suff w:val="nothing"/>
      <w:lvlText w:val="%1-"/>
      <w:lvlJc w:val="left"/>
      <w:pPr>
        <w:ind w:left="0" w:firstLine="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7"/>
  </w:num>
  <w:num w:numId="2" w16cid:durableId="209388498">
    <w:abstractNumId w:val="12"/>
  </w:num>
  <w:num w:numId="3" w16cid:durableId="753478566">
    <w:abstractNumId w:val="7"/>
  </w:num>
  <w:num w:numId="4" w16cid:durableId="1721586485">
    <w:abstractNumId w:val="4"/>
  </w:num>
  <w:num w:numId="5" w16cid:durableId="1382825599">
    <w:abstractNumId w:val="8"/>
  </w:num>
  <w:num w:numId="6" w16cid:durableId="618688294">
    <w:abstractNumId w:val="5"/>
  </w:num>
  <w:num w:numId="7" w16cid:durableId="1427652882">
    <w:abstractNumId w:val="15"/>
  </w:num>
  <w:num w:numId="8" w16cid:durableId="2076076770">
    <w:abstractNumId w:val="10"/>
  </w:num>
  <w:num w:numId="9" w16cid:durableId="2018069046">
    <w:abstractNumId w:val="16"/>
  </w:num>
  <w:num w:numId="10" w16cid:durableId="1853716544">
    <w:abstractNumId w:val="6"/>
  </w:num>
  <w:num w:numId="11" w16cid:durableId="317850906">
    <w:abstractNumId w:val="14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653313">
    <w:abstractNumId w:val="2"/>
    <w:lvlOverride w:ilvl="0">
      <w:startOverride w:val="2"/>
    </w:lvlOverride>
  </w:num>
  <w:num w:numId="16" w16cid:durableId="202641366">
    <w:abstractNumId w:val="11"/>
    <w:lvlOverride w:ilvl="0">
      <w:startOverride w:val="5"/>
    </w:lvlOverride>
  </w:num>
  <w:num w:numId="17" w16cid:durableId="564024297">
    <w:abstractNumId w:val="1"/>
    <w:lvlOverride w:ilvl="0">
      <w:startOverride w:val="2"/>
    </w:lvlOverride>
  </w:num>
  <w:num w:numId="18" w16cid:durableId="556865855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C3E0F"/>
    <w:rsid w:val="000D5947"/>
    <w:rsid w:val="000D7B98"/>
    <w:rsid w:val="000E0CC5"/>
    <w:rsid w:val="000E3852"/>
    <w:rsid w:val="000E3E8C"/>
    <w:rsid w:val="000F569F"/>
    <w:rsid w:val="000F57AE"/>
    <w:rsid w:val="000F7070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95D81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22804"/>
    <w:rsid w:val="002316FE"/>
    <w:rsid w:val="00245166"/>
    <w:rsid w:val="00245820"/>
    <w:rsid w:val="00246559"/>
    <w:rsid w:val="002511D7"/>
    <w:rsid w:val="00265112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6F6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229B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33247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4268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8C6996"/>
    <w:rsid w:val="00900B7B"/>
    <w:rsid w:val="0090532E"/>
    <w:rsid w:val="00914C8B"/>
    <w:rsid w:val="009247FE"/>
    <w:rsid w:val="009304B5"/>
    <w:rsid w:val="00935008"/>
    <w:rsid w:val="009510DC"/>
    <w:rsid w:val="00983189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37484"/>
    <w:rsid w:val="00A52463"/>
    <w:rsid w:val="00A52FF8"/>
    <w:rsid w:val="00A552A6"/>
    <w:rsid w:val="00A642E5"/>
    <w:rsid w:val="00A67B62"/>
    <w:rsid w:val="00A74FC2"/>
    <w:rsid w:val="00A77FAE"/>
    <w:rsid w:val="00A83020"/>
    <w:rsid w:val="00A86239"/>
    <w:rsid w:val="00A94A66"/>
    <w:rsid w:val="00A97A4B"/>
    <w:rsid w:val="00AA3153"/>
    <w:rsid w:val="00AB4B9D"/>
    <w:rsid w:val="00AC74B6"/>
    <w:rsid w:val="00AD03A6"/>
    <w:rsid w:val="00AD21F6"/>
    <w:rsid w:val="00AD687A"/>
    <w:rsid w:val="00AE1890"/>
    <w:rsid w:val="00AE4D90"/>
    <w:rsid w:val="00AE4F1F"/>
    <w:rsid w:val="00AE6D97"/>
    <w:rsid w:val="00AF5C8A"/>
    <w:rsid w:val="00AF7BEE"/>
    <w:rsid w:val="00B03060"/>
    <w:rsid w:val="00B06EA8"/>
    <w:rsid w:val="00B127D9"/>
    <w:rsid w:val="00B14B99"/>
    <w:rsid w:val="00B22DE5"/>
    <w:rsid w:val="00B27378"/>
    <w:rsid w:val="00B302BD"/>
    <w:rsid w:val="00B3358E"/>
    <w:rsid w:val="00B35946"/>
    <w:rsid w:val="00B4692B"/>
    <w:rsid w:val="00B46AFA"/>
    <w:rsid w:val="00B549C9"/>
    <w:rsid w:val="00B614F7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248B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D61EE"/>
    <w:rsid w:val="00CE0F08"/>
    <w:rsid w:val="00CF0EC8"/>
    <w:rsid w:val="00CF7A5A"/>
    <w:rsid w:val="00D12ADD"/>
    <w:rsid w:val="00D14D30"/>
    <w:rsid w:val="00D313EA"/>
    <w:rsid w:val="00D40611"/>
    <w:rsid w:val="00D40857"/>
    <w:rsid w:val="00D427B0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C1EAC"/>
    <w:rsid w:val="00DD144C"/>
    <w:rsid w:val="00DD3991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0D1E"/>
    <w:rsid w:val="00E64BE5"/>
    <w:rsid w:val="00E67393"/>
    <w:rsid w:val="00E74EA6"/>
    <w:rsid w:val="00E812D6"/>
    <w:rsid w:val="00E843B0"/>
    <w:rsid w:val="00E84CF4"/>
    <w:rsid w:val="00E8715F"/>
    <w:rsid w:val="00E9498C"/>
    <w:rsid w:val="00EA4480"/>
    <w:rsid w:val="00EB1124"/>
    <w:rsid w:val="00EB1FE0"/>
    <w:rsid w:val="00EC046F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80895"/>
    <w:rsid w:val="00F93737"/>
    <w:rsid w:val="00F967DC"/>
    <w:rsid w:val="00FA0365"/>
    <w:rsid w:val="00FA7E4E"/>
    <w:rsid w:val="00FB00D0"/>
    <w:rsid w:val="00FC094E"/>
    <w:rsid w:val="00FC5619"/>
    <w:rsid w:val="00FD13CE"/>
    <w:rsid w:val="00FD575F"/>
    <w:rsid w:val="00FD7505"/>
    <w:rsid w:val="00FE4F72"/>
    <w:rsid w:val="00FE7042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qFormat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2026-07-07T07:44:00Z</cp:lastPrinted>
  <dcterms:created xsi:type="dcterms:W3CDTF">2026-07-07T08:00:00Z</dcterms:created>
  <dcterms:modified xsi:type="dcterms:W3CDTF">2026-07-07T08:00:00Z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