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ED203">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附件1</w:t>
      </w:r>
    </w:p>
    <w:p w14:paraId="646FBD7D">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2026年浙江省教代会工会研究课题指南</w:t>
      </w:r>
    </w:p>
    <w:p w14:paraId="567C15BA">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仿宋_GB2312" w:cs="Times New Roman"/>
          <w:sz w:val="28"/>
          <w:szCs w:val="28"/>
        </w:rPr>
      </w:pPr>
    </w:p>
    <w:p w14:paraId="7FD851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1.习近平总书记关于工人阶级和工会工作重要论述研究</w:t>
      </w:r>
    </w:p>
    <w:p w14:paraId="7B0D5617">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2.贯彻落实党的二十届四中全会精神与工会工作研究</w:t>
      </w:r>
    </w:p>
    <w:p w14:paraId="29FB0D8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3.正确政绩观导向下高校工会</w:t>
      </w:r>
      <w:bookmarkStart w:id="0" w:name="_GoBack"/>
      <w:bookmarkEnd w:id="0"/>
      <w:r>
        <w:rPr>
          <w:rFonts w:hint="default" w:ascii="Times New Roman" w:hAnsi="Times New Roman" w:eastAsia="方正仿宋_GB2312" w:cs="Times New Roman"/>
          <w:sz w:val="28"/>
          <w:szCs w:val="28"/>
        </w:rPr>
        <w:t>实干履职与内涵发展实践研究</w:t>
      </w:r>
    </w:p>
    <w:p w14:paraId="5CDCBE6B">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4.浙江红色工运资源融入高校工会思想引领工作的路径与机</w:t>
      </w:r>
    </w:p>
    <w:p w14:paraId="2AD943C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制研究</w:t>
      </w:r>
    </w:p>
    <w:p w14:paraId="2F7A4B66">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5.党建引领高校工会创新发展的机制和路径研究</w:t>
      </w:r>
    </w:p>
    <w:p w14:paraId="5A93FF6B">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6.高校工会思想引领与师德师风建设深度融合机制研究7.高校教代会赋能民主管理与治理效能提升研究</w:t>
      </w:r>
    </w:p>
    <w:p w14:paraId="59833CB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8.校院两级工会协同视角下基层工会组织主动性激发的路径和策略研究</w:t>
      </w:r>
    </w:p>
    <w:p w14:paraId="66E9DF7B">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9.院级教代会在基层治理中的职责定位与作用机制研究</w:t>
      </w:r>
    </w:p>
    <w:p w14:paraId="03C2A7DA">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10.教工之家内涵建设提质与品牌化发展研究11.高校教代会提案提质增效与成果转化落地机制研究</w:t>
      </w:r>
    </w:p>
    <w:p w14:paraId="6BA91FD7">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12.智慧工会建设与工会数字化改革研究</w:t>
      </w:r>
    </w:p>
    <w:p w14:paraId="04810317">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13.青年教授联谊会等平台在助力教师成长发展中的功能定位与作用发挥研究14.“青教赛”等技能竞赛赋能青年教师专业成长的激励机制</w:t>
      </w:r>
    </w:p>
    <w:p w14:paraId="517B484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研究</w:t>
      </w:r>
    </w:p>
    <w:p w14:paraId="393F9B3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15.多元用人背景下高校工会精准服务体系建设研究</w:t>
      </w:r>
    </w:p>
    <w:p w14:paraId="6C164B71">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16.高校工会服务高层次青年人才引育留用、归属感培育的精准化策略研究</w:t>
      </w:r>
    </w:p>
    <w:p w14:paraId="0BD41F81">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17.高校工会维护非编人员权益、非编人员流动性问题研究</w:t>
      </w:r>
    </w:p>
    <w:p w14:paraId="578E315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动关系构建研究</w:t>
      </w:r>
    </w:p>
    <w:p w14:paraId="7E0823D4">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18.法治化视域下高校工会维权服务体系完善与和谐校园劳</w:t>
      </w:r>
    </w:p>
    <w:p w14:paraId="5418E8F5">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19.困难职工长效帮扶机制建设的研究和对策</w:t>
      </w:r>
    </w:p>
    <w:p w14:paraId="7ABDB227">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20.工会组织加强教职工心理健康服务的举措与长效机制研</w:t>
      </w:r>
    </w:p>
    <w:p w14:paraId="246F389C">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究</w:t>
      </w:r>
    </w:p>
    <w:p w14:paraId="4B3E1B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21.高校工会先进典型选树宣传路径与赋能育人实效研究</w:t>
      </w:r>
    </w:p>
    <w:p w14:paraId="2F0FA09D">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22.新时代弘扬和培育劳模精神、劳动精神、工匠精神的模式</w:t>
      </w:r>
    </w:p>
    <w:p w14:paraId="3E66E4A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探索</w:t>
      </w:r>
    </w:p>
    <w:p w14:paraId="0ED9C66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23.高校工会文化品牌培育与校院两级联动机制研究</w:t>
      </w:r>
    </w:p>
    <w:p w14:paraId="1FA22CCA">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24.高校教职工社团规范化建设与活力激发机制研究</w:t>
      </w:r>
    </w:p>
    <w:p w14:paraId="247A8DED">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25.新时代高校工会干部队伍专业化能力建设与激励机制研</w:t>
      </w:r>
    </w:p>
    <w:p w14:paraId="4CC5547F">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究</w:t>
      </w:r>
    </w:p>
    <w:p w14:paraId="3B97FBA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26.高校工会工作教职工满意度测评体系构建与反馈机制研</w:t>
      </w:r>
    </w:p>
    <w:p w14:paraId="69F8711A">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究</w:t>
      </w:r>
    </w:p>
    <w:p w14:paraId="44A3FFC4">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高校附属医院工会特色品牌建设实践研究</w:t>
      </w:r>
    </w:p>
    <w:p w14:paraId="593F139E">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0" w:firstLineChars="0"/>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深化创新“劳模工匠助企行”研究(2026年8月底前结题)</w:t>
      </w:r>
    </w:p>
    <w:p w14:paraId="5626BBC1">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Chars="0"/>
        <w:textAlignment w:val="baseline"/>
        <w:rPr>
          <w:rFonts w:hint="default" w:ascii="Times New Roman" w:hAnsi="Times New Roman" w:eastAsia="方正仿宋_GB2312" w:cs="Times New Roman"/>
          <w:sz w:val="28"/>
          <w:szCs w:val="28"/>
        </w:rPr>
      </w:pPr>
      <w:r>
        <w:rPr>
          <w:rFonts w:hint="default" w:ascii="Times New Roman" w:hAnsi="Times New Roman" w:eastAsia="方正仿宋_GB2312" w:cs="Times New Roman"/>
          <w:sz w:val="28"/>
          <w:szCs w:val="28"/>
        </w:rPr>
        <w:t>29.深化创新劳模工匠创新工作室研究(2026年8月底前结题)</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embedRegular r:id="rId1" w:fontKey="{04A903A7-84A5-4A11-8822-356751115405}"/>
  </w:font>
  <w:font w:name="方正小标宋简体">
    <w:panose1 w:val="02000000000000000000"/>
    <w:charset w:val="86"/>
    <w:family w:val="auto"/>
    <w:pitch w:val="default"/>
    <w:sig w:usb0="00000001" w:usb1="08000000" w:usb2="00000000" w:usb3="00000000" w:csb0="00040000" w:csb1="00000000"/>
    <w:embedRegular r:id="rId2" w:fontKey="{0D54564B-DCC6-44F8-AD33-FAD92F7629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266C9">
    <w:pPr>
      <w:spacing w:line="168" w:lineRule="auto"/>
      <w:ind w:left="4490"/>
      <w:rPr>
        <w:rFonts w:ascii="Calibri" w:hAnsi="Calibri" w:eastAsia="Calibri" w:cs="Calibri"/>
        <w:sz w:val="18"/>
        <w:szCs w:val="18"/>
      </w:rPr>
    </w:pPr>
    <w:r>
      <w:rPr>
        <w:rFonts w:ascii="Calibri" w:hAnsi="Calibri" w:eastAsia="Calibri" w:cs="Calibri"/>
        <w:sz w:val="18"/>
        <w:szCs w:val="18"/>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7406B6"/>
    <w:multiLevelType w:val="singleLevel"/>
    <w:tmpl w:val="817406B6"/>
    <w:lvl w:ilvl="0" w:tentative="0">
      <w:start w:val="27"/>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C03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2026-05-26T09:11:26Z</dcterms:created>
  <dc:creator>admin</dc:creator>
  <cp:lastModifiedBy>陶微</cp:lastModifiedBy>
  <dcterms:modified xsi:type="dcterms:W3CDTF">2026-05-26T09:15:54Z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10CC920B1C264C6F8E7A3981258CB13A_12</vt:lpwstr>
  </property>
</Properties>
</file>